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right"/>
        <w:rPr>
          <w:rFonts w:ascii="Times Nordic" w:hAnsi="Times Nordic" w:cs="Times Nordic" w:eastAsia="Times Nordic"/>
          <w:b/>
          <w:color w:val="auto"/>
          <w:spacing w:val="0"/>
          <w:position w:val="0"/>
          <w:sz w:val="22"/>
          <w:shd w:fill="auto" w:val="clear"/>
        </w:rPr>
      </w:pPr>
      <w:r>
        <w:rPr>
          <w:rFonts w:ascii="Times Nordic" w:hAnsi="Times Nordic" w:cs="Times Nordic" w:eastAsia="Times Nordic"/>
          <w:b/>
          <w:color w:val="auto"/>
          <w:spacing w:val="0"/>
          <w:position w:val="0"/>
          <w:sz w:val="22"/>
          <w:shd w:fill="auto" w:val="clear"/>
        </w:rPr>
        <w:t xml:space="preserve">N. </w:t>
      </w:r>
      <w:r>
        <w:rPr>
          <w:rFonts w:ascii="Times Nordic" w:hAnsi="Times Nordic" w:cs="Times Nordic" w:eastAsia="Times Nordic"/>
          <w:b/>
          <w:color w:val="auto"/>
          <w:spacing w:val="0"/>
          <w:position w:val="0"/>
          <w:sz w:val="22"/>
          <w:shd w:fill="000000" w:val="clear"/>
        </w:rPr>
        <w:t xml:space="preserve">09726/2013</w:t>
      </w:r>
      <w:r>
        <w:rPr>
          <w:rFonts w:ascii="Times Nordic" w:hAnsi="Times Nordic" w:cs="Times Nordic" w:eastAsia="Times Nordic"/>
          <w:b/>
          <w:color w:val="auto"/>
          <w:spacing w:val="0"/>
          <w:position w:val="0"/>
          <w:sz w:val="22"/>
          <w:shd w:fill="auto" w:val="clear"/>
        </w:rPr>
        <w:t xml:space="preserve"> REG.PROV.COLL.</w:t>
      </w:r>
    </w:p>
    <w:p>
      <w:pPr>
        <w:spacing w:before="100" w:after="100" w:line="240"/>
        <w:ind w:right="0" w:left="0" w:firstLine="0"/>
        <w:jc w:val="right"/>
        <w:rPr>
          <w:rFonts w:ascii="Times Nordic" w:hAnsi="Times Nordic" w:cs="Times Nordic" w:eastAsia="Times Nordic"/>
          <w:b/>
          <w:color w:val="auto"/>
          <w:spacing w:val="0"/>
          <w:position w:val="0"/>
          <w:sz w:val="22"/>
          <w:shd w:fill="auto" w:val="clear"/>
        </w:rPr>
      </w:pPr>
      <w:r>
        <w:rPr>
          <w:rFonts w:ascii="Times Nordic" w:hAnsi="Times Nordic" w:cs="Times Nordic" w:eastAsia="Times Nordic"/>
          <w:b/>
          <w:color w:val="auto"/>
          <w:spacing w:val="0"/>
          <w:position w:val="0"/>
          <w:sz w:val="22"/>
          <w:shd w:fill="auto" w:val="clear"/>
        </w:rPr>
        <w:t xml:space="preserve">N. </w:t>
      </w:r>
      <w:r>
        <w:rPr>
          <w:rFonts w:ascii="Times Nordic" w:hAnsi="Times Nordic" w:cs="Times Nordic" w:eastAsia="Times Nordic"/>
          <w:b/>
          <w:color w:val="auto"/>
          <w:spacing w:val="0"/>
          <w:position w:val="0"/>
          <w:sz w:val="22"/>
          <w:shd w:fill="000000" w:val="clear"/>
        </w:rPr>
        <w:t xml:space="preserve">09605/2012</w:t>
      </w:r>
      <w:r>
        <w:rPr>
          <w:rFonts w:ascii="Times Nordic" w:hAnsi="Times Nordic" w:cs="Times Nordic" w:eastAsia="Times Nordic"/>
          <w:b/>
          <w:color w:val="auto"/>
          <w:spacing w:val="0"/>
          <w:position w:val="0"/>
          <w:sz w:val="22"/>
          <w:shd w:fill="auto" w:val="clear"/>
        </w:rPr>
        <w:t xml:space="preserve"> REG.RIC.</w:t>
      </w:r>
    </w:p>
    <w:p>
      <w:pPr>
        <w:spacing w:before="100" w:after="100" w:line="240"/>
        <w:ind w:right="0" w:left="0" w:firstLine="0"/>
        <w:jc w:val="center"/>
        <w:rPr>
          <w:rFonts w:ascii="Garamond" w:hAnsi="Garamond" w:cs="Garamond" w:eastAsia="Garamond"/>
          <w:b/>
          <w:color w:val="000000"/>
          <w:spacing w:val="125"/>
          <w:position w:val="0"/>
          <w:sz w:val="24"/>
          <w:shd w:fill="auto" w:val="clear"/>
        </w:rPr>
      </w:pPr>
      <w:r>
        <w:object w:dxaOrig="1093" w:dyaOrig="1250">
          <v:rect xmlns:o="urn:schemas-microsoft-com:office:office" xmlns:v="urn:schemas-microsoft-com:vml" id="rectole0000000000" style="width:54.650000pt;height:62.5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100" w:after="100" w:line="240"/>
        <w:ind w:right="0" w:left="0" w:firstLine="0"/>
        <w:jc w:val="center"/>
        <w:rPr>
          <w:rFonts w:ascii="Garamond" w:hAnsi="Garamond" w:cs="Garamond" w:eastAsia="Garamond"/>
          <w:b/>
          <w:color w:val="000000"/>
          <w:spacing w:val="125"/>
          <w:position w:val="0"/>
          <w:sz w:val="24"/>
          <w:shd w:fill="auto" w:val="clear"/>
        </w:rPr>
      </w:pPr>
      <w:r>
        <w:rPr>
          <w:rFonts w:ascii="Garamond" w:hAnsi="Garamond" w:cs="Garamond" w:eastAsia="Garamond"/>
          <w:b/>
          <w:color w:val="000000"/>
          <w:spacing w:val="125"/>
          <w:position w:val="0"/>
          <w:sz w:val="24"/>
          <w:shd w:fill="auto" w:val="clear"/>
        </w:rPr>
        <w:t xml:space="preserve">REPUBBLICA ITALIANA</w:t>
      </w:r>
    </w:p>
    <w:p>
      <w:pPr>
        <w:spacing w:before="100" w:after="100" w:line="240"/>
        <w:ind w:right="0" w:left="0" w:firstLine="0"/>
        <w:jc w:val="center"/>
        <w:rPr>
          <w:rFonts w:ascii="Garamond" w:hAnsi="Garamond" w:cs="Garamond" w:eastAsia="Garamond"/>
          <w:b/>
          <w:color w:val="000000"/>
          <w:spacing w:val="0"/>
          <w:position w:val="0"/>
          <w:sz w:val="22"/>
          <w:shd w:fill="auto" w:val="clear"/>
        </w:rPr>
      </w:pPr>
      <w:r>
        <w:rPr>
          <w:rFonts w:ascii="Garamond" w:hAnsi="Garamond" w:cs="Garamond" w:eastAsia="Garamond"/>
          <w:b/>
          <w:color w:val="000000"/>
          <w:spacing w:val="0"/>
          <w:position w:val="0"/>
          <w:sz w:val="22"/>
          <w:shd w:fill="auto" w:val="clear"/>
        </w:rPr>
        <w:t xml:space="preserve">IN NOME DEL POPOLO ITALIANO</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Il Tribunale Amministrativo Regionale per il Lazio</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(Sezione Terza)</w:t>
      </w:r>
    </w:p>
    <w:p>
      <w:pPr>
        <w:spacing w:before="0" w:after="0" w:line="520"/>
        <w:ind w:right="0" w:left="0" w:firstLine="567"/>
        <w:jc w:val="left"/>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ha pronunciato la presente</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SENTENZA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sul ricorso numero di registro generale </w:t>
      </w:r>
      <w:r>
        <w:rPr>
          <w:rFonts w:ascii="Garamond" w:hAnsi="Garamond" w:cs="Garamond" w:eastAsia="Garamond"/>
          <w:color w:val="auto"/>
          <w:spacing w:val="0"/>
          <w:position w:val="0"/>
          <w:sz w:val="30"/>
          <w:shd w:fill="000000" w:val="clear"/>
        </w:rPr>
        <w:t xml:space="preserve">9605 del 2012</w:t>
      </w:r>
      <w:r>
        <w:rPr>
          <w:rFonts w:ascii="Garamond" w:hAnsi="Garamond" w:cs="Garamond" w:eastAsia="Garamond"/>
          <w:color w:val="auto"/>
          <w:spacing w:val="0"/>
          <w:position w:val="0"/>
          <w:sz w:val="30"/>
          <w:shd w:fill="auto" w:val="clear"/>
        </w:rPr>
        <w:t xml:space="preserve">, proposto da: </w:t>
        <w:br/>
      </w:r>
      <w:r>
        <w:rPr>
          <w:rFonts w:ascii="Garamond" w:hAnsi="Garamond" w:cs="Garamond" w:eastAsia="Garamond"/>
          <w:color w:val="auto"/>
          <w:spacing w:val="0"/>
          <w:position w:val="0"/>
          <w:sz w:val="30"/>
          <w:shd w:fill="000000" w:val="clear"/>
        </w:rPr>
        <w:t xml:space="preserve">Santo Trovato</w:t>
      </w:r>
      <w:r>
        <w:rPr>
          <w:rFonts w:ascii="Garamond" w:hAnsi="Garamond" w:cs="Garamond" w:eastAsia="Garamond"/>
          <w:color w:val="auto"/>
          <w:spacing w:val="0"/>
          <w:position w:val="0"/>
          <w:sz w:val="30"/>
          <w:shd w:fill="auto" w:val="clear"/>
        </w:rPr>
        <w:t xml:space="preserve">, rappresentato e difeso dagli avv.ti Michele Bonetti e Santi Delia, con domicilio eletto presso il primo in Roma, via Tommaso D'Aquino, 47; </w:t>
      </w:r>
    </w:p>
    <w:p>
      <w:pPr>
        <w:spacing w:before="0" w:after="0" w:line="520"/>
        <w:ind w:right="0" w:left="0" w:firstLine="0"/>
        <w:jc w:val="center"/>
        <w:rPr>
          <w:rFonts w:ascii="Garamond" w:hAnsi="Garamond" w:cs="Garamond" w:eastAsia="Garamond"/>
          <w:b/>
          <w:i/>
          <w:color w:val="auto"/>
          <w:spacing w:val="0"/>
          <w:position w:val="0"/>
          <w:sz w:val="30"/>
          <w:shd w:fill="auto" w:val="clear"/>
        </w:rPr>
      </w:pPr>
      <w:r>
        <w:rPr>
          <w:rFonts w:ascii="Garamond" w:hAnsi="Garamond" w:cs="Garamond" w:eastAsia="Garamond"/>
          <w:b/>
          <w:i/>
          <w:color w:val="auto"/>
          <w:spacing w:val="0"/>
          <w:position w:val="0"/>
          <w:sz w:val="30"/>
          <w:shd w:fill="auto" w:val="clear"/>
        </w:rPr>
        <w:t xml:space="preserve">contro</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Ministero Istruzione Universita' e Ricerca, in persona del Ministro p.t., e Università degli Studi di Messina, in persona del Rettore p.t., rappresentati e difesi per legge dall'Avvocatura Generale dello Stato, presso cui domiciliano in Roma, via dei Portoghesi, 12; </w:t>
      </w:r>
    </w:p>
    <w:p>
      <w:pPr>
        <w:spacing w:before="0" w:after="0" w:line="520"/>
        <w:ind w:right="0" w:left="0" w:firstLine="0"/>
        <w:jc w:val="center"/>
        <w:rPr>
          <w:rFonts w:ascii="Garamond" w:hAnsi="Garamond" w:cs="Garamond" w:eastAsia="Garamond"/>
          <w:b/>
          <w:i/>
          <w:color w:val="auto"/>
          <w:spacing w:val="0"/>
          <w:position w:val="0"/>
          <w:sz w:val="30"/>
          <w:shd w:fill="auto" w:val="clear"/>
        </w:rPr>
      </w:pPr>
      <w:r>
        <w:rPr>
          <w:rFonts w:ascii="Garamond" w:hAnsi="Garamond" w:cs="Garamond" w:eastAsia="Garamond"/>
          <w:b/>
          <w:i/>
          <w:color w:val="auto"/>
          <w:spacing w:val="0"/>
          <w:position w:val="0"/>
          <w:sz w:val="30"/>
          <w:shd w:fill="auto" w:val="clear"/>
        </w:rPr>
        <w:t xml:space="preserve">per l'annullamento, previa misura cautelare,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a) della nota 26 ottobre 2012, prot. n. 57857 con la quale è stata rigettata la domanda di iscrizione ad anno successivo al I di parte ricorrente;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b) ove occorra del D.R. 5 luglio 2012, n. 1772, bando di concorso per l’ammissione al corso di laurea in Odontoiatria e Protesi dentaria nella parte in cui le relative disposizioni (art. 2) e, in particolare, l’onere di sottoporsi al test di ammissione e collocarsi in posizione utile rispetto ai posti banditi per il I anno, venga ritenuto applicabile anche ai candidati in possesso della laurea in Medicina e Chirurgia nonché, ove occorra, del D.M. 28 giugno 2012, n. 196 che ha stabilito (riportando pedissequamente il disposto di cui all’art. 4 della l.n. 264/99) le modalità per l’espletamento della prova di ammissione al corso di laurea in Odontoiatria e Protesi dentaria per l’anno accademico 2012/2013 stabilendo, all’art. 1, che “l’ammissione degli studenti ai corsi di laurea di cui all’articolo 1, comma 1, lettera a) della legge 2 agosto 1999, n. 264, avviene previo superamento di apposita prova sulla base delle disposizioni di cui al presente decreto”;</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per l’accertamento</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del diritto del ricorrente di essere ammesso al Corso di laurea in questione e di ottenere il risarcimento di tutti i danni subiti e subendi a causa del diniego all’iscrizione opposta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per la condanna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delle Amministrazioni intimate all’adozione dei relativi provvedimenti e al pagamento delle relative somme, con interessi e rivalutazione, come per legge.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Visti il ricorso e i relativi allegati;</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Visto l’atto di costituzione in giudizio del Ministero Istruzione Universita' e Ricerca e dell’Università degli Studi di Messina, con la relativa documentazione;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Vista l’ordinanza cautelare di questa Sezione n. 4757/2012 del 21.12.2012;</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Viste le memorie difensive;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Visti tutti gli atti della causa;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Relatore nell'udienza pubblica del 6 novembre 2013 il dott. Ivo Correale e uditi per le parti i difensori come specificato nel verbale;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Ritenuto e considerato in fatto e diritto quanto segue.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540"/>
        <w:ind w:right="0" w:left="0" w:firstLine="0"/>
        <w:jc w:val="center"/>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FATTO</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Con ricorso a questo Tribunale, notificato il 10 novembre 2012 e depositato il successivo 20 novembre, il dr. </w:t>
      </w:r>
      <w:r>
        <w:rPr>
          <w:rFonts w:ascii="Garamond" w:hAnsi="Garamond" w:cs="Garamond" w:eastAsia="Garamond"/>
          <w:color w:val="auto"/>
          <w:spacing w:val="0"/>
          <w:position w:val="0"/>
          <w:sz w:val="30"/>
          <w:shd w:fill="000000" w:val="clear"/>
        </w:rPr>
        <w:t xml:space="preserve">Santo Trovato</w:t>
      </w:r>
      <w:r>
        <w:rPr>
          <w:rFonts w:ascii="Garamond" w:hAnsi="Garamond" w:cs="Garamond" w:eastAsia="Garamond"/>
          <w:color w:val="auto"/>
          <w:spacing w:val="0"/>
          <w:position w:val="0"/>
          <w:sz w:val="30"/>
          <w:shd w:fill="auto" w:val="clear"/>
        </w:rPr>
        <w:t xml:space="preserve"> chiedeva l’annullamento, previa sospensione, dei provvedimenti in epigrafe che avevano portato al rigetto della domanda di iscrizione ad anno successivo al primo al corso di laurea in Odontoiatria e Protesi dentaria presso l’Ateneo di Messina.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Evidenziando di essere laureato in Medicina e Chirurgia dal 2003 e di aver conseguito un Master universitario in “Chirurgia orale” nel 2007, nell’ambito della Scuola di specializzazione in Chirurgia e Odontostomatologia, e frequentando dall’anno accademico 2011-12, previa selezione di ammissione, un secondo Master di II livello in Implantoprotesi dentaria presso la medesima Scuola, il ricorrente lamentava, in sintesi, quanto segue.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w:t>
      </w:r>
      <w:r>
        <w:rPr>
          <w:rFonts w:ascii="Garamond" w:hAnsi="Garamond" w:cs="Garamond" w:eastAsia="Garamond"/>
          <w:i/>
          <w:color w:val="auto"/>
          <w:spacing w:val="0"/>
          <w:position w:val="0"/>
          <w:sz w:val="30"/>
          <w:shd w:fill="auto" w:val="clear"/>
        </w:rPr>
        <w:t xml:space="preserve">I. Violazione e/o erronea applicazione della l. 264/99 e dell’art. 1 septies della tabella XVIII bis del r.d. 30 settembre 1938, n. 1652, edell’art. 1, comma 2, del d.p.r. 28 febbraio 1980, n. 13. Eccesso di potere per illogicità, iniquità. Difetto di presupposti legali. Violazione dei criteri di efficacia. Eccesso di potere. Contraddittorietà tra più atti. Ingiustizia manifesta. Disparità di trattamento. Travisamento ed erronea valutazione dei fatti. Contraddittorietà dell’azione amministrativa e manifesta irragionevolezza ed illogicità dell’azione amministrativa. Difetto di motivazione del bando impugnato sulla questione”</w:t>
      </w:r>
      <w:r>
        <w:rPr>
          <w:rFonts w:ascii="Garamond" w:hAnsi="Garamond" w:cs="Garamond" w:eastAsia="Garamond"/>
          <w:color w:val="auto"/>
          <w:spacing w:val="0"/>
          <w:position w:val="0"/>
          <w:sz w:val="30"/>
          <w:shd w:fill="auto" w:val="clear"/>
        </w:rPr>
        <w:t xml:space="preserv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Le prove di ammissione ai corsi di laurea possono essere legittimamente previste al fine di valutare l’attitudine di studenti, privi di titoli e provenienti dalle scuole secondarie superiori, ad affrontare lo specifico corso di laurea ma non possono essere imposte a chi, come il ricorrente, è già laureato in disciplina affine e vanta un Master e la frequentazione di un altro in materie specificamente legate a quella del corso di laurea in questione.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La stessa previsione di un test unico di ammissione per i corsi di laurea in Medicina e Chirurgia e Odontoiatria e Protesi dentaria evidenziava l’affinità predetta e l’implicita attitudine alla reciproca frequentazione per chi fosse laureato e specializzato nelle medesime materie, come il ricorrente, che chiedeva la concessione dell’iscrizione ad anno successivo al primo previa verifica dell’esistenza di vacanze negli anni di corso rispetto al contingente complessivamente stabilito con il d.m. di programmazione dell’anno e degli anni precedenti, non dando modo così ad alcuna lesione della programmazione nazionale delle immatricolazioni anche riferite agli anni precedenti.</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Il ricorrente poi evidenziava l’illogicità della circostanza per la quale, allo stato, con i suoi titoli, poteva operare chirurgicamente nella cavità orale dei suoi pazienti ma non poteva effettuare una normale otturazione dentaria.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In linea subordinata, il ricorrente proponeva questione di legittimità costituzionale degli artt. 3 e 4 l. n. 264/99 in riferimento agli artt. 2,3,4,34,35 Cost., laddove fosse sostenuta l’interpretazione che impone la preventiva prova selettiva anche per l’iscrizione al secondo anno ovvero nella parte in cui non prevede una deroga per l’iscrizione a tale secondo anno per tutti coloro che sono in possesso di altra laurea specialistica, dandosi luogo a violazione del diritto allo studio e alla formazione lavorativa.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w:t>
      </w:r>
      <w:r>
        <w:rPr>
          <w:rFonts w:ascii="Garamond" w:hAnsi="Garamond" w:cs="Garamond" w:eastAsia="Garamond"/>
          <w:i/>
          <w:color w:val="auto"/>
          <w:spacing w:val="0"/>
          <w:position w:val="0"/>
          <w:sz w:val="30"/>
          <w:shd w:fill="auto" w:val="clear"/>
        </w:rPr>
        <w:t xml:space="preserve">II. Violazione di legge per alterazione della gerarchia delle fonti di produzione del diritto. Eccesso di potere per irragionevolezza manifesta e deviante considerazione dei presupposti di fatto e normativi. Violazione degli artt. 33 e 34 Cost.; incompetenza; eccesso di potere</w:t>
      </w:r>
      <w:r>
        <w:rPr>
          <w:rFonts w:ascii="Garamond" w:hAnsi="Garamond" w:cs="Garamond" w:eastAsia="Garamond"/>
          <w:color w:val="auto"/>
          <w:spacing w:val="0"/>
          <w:position w:val="0"/>
          <w:sz w:val="30"/>
          <w:shd w:fill="auto" w:val="clear"/>
        </w:rPr>
        <w:t xml:space="preserv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L’Ateneo, nel regolare l’accesso ai corsi universitari nel senso contestato dal ricorrente, aveva invaso la competenza legislativa dello Stato, e quindi del MIUR.</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w:t>
      </w:r>
      <w:r>
        <w:rPr>
          <w:rFonts w:ascii="Garamond" w:hAnsi="Garamond" w:cs="Garamond" w:eastAsia="Garamond"/>
          <w:i/>
          <w:color w:val="auto"/>
          <w:spacing w:val="0"/>
          <w:position w:val="0"/>
          <w:sz w:val="30"/>
          <w:shd w:fill="auto" w:val="clear"/>
        </w:rPr>
        <w:t xml:space="preserve">III. Eccesso di potere: irragionevolezza ed illogicità”</w:t>
      </w:r>
      <w:r>
        <w:rPr>
          <w:rFonts w:ascii="Garamond" w:hAnsi="Garamond" w:cs="Garamond" w:eastAsia="Garamond"/>
          <w:color w:val="auto"/>
          <w:spacing w:val="0"/>
          <w:position w:val="0"/>
          <w:sz w:val="30"/>
          <w:shd w:fill="auto" w:val="clear"/>
        </w:rPr>
        <w:t xml:space="preserv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La laurea in medicina del ricorrente era stata acquisita nel regime precedente al 2008 e dimostrava pienamente l’attitudine del ricorrente ad intraprendere lo specifico corso di studi. Illogica era poi la previsione applicata che privilegiava, ai fini dell’accesso, un test di selezione a risposta multipla rispetto ad anni di studi ed esperienza pratica.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Il ricorrente concludeva la sua esposizione chiedendo il risarcimento del danno, anche sotto forma di perdita di “chance”.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Si costituivano in giudizio le Amministrazioni in epigrafe, chiedendo la reiezione del ricorso.</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Con l’ordinanza in epigrafe adottata all’esito della camera di consiglio, in prossimità della quale il ricorrente depositava note d’udienza in cui evidenziava la sussistenza di posti disponibili, questa Sezione accoglieva la domanda cautelare, ammettendo con riserva il ricorrente ad anno successivo al primo secondo valutazione demandata all’Ateneo resistente.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Alla pubblica udienza del 6 novembre 2013 la causa era trattenuta in decisione.</w:t>
      </w:r>
    </w:p>
    <w:p>
      <w:pPr>
        <w:spacing w:before="0" w:after="0" w:line="540"/>
        <w:ind w:right="0" w:left="0" w:firstLine="0"/>
        <w:jc w:val="center"/>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DIRITTO</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Il Collegio, anche al non più sommario esame proprio della fase di merito e in assenza di nuove deduzioni da parte dell’Amministrazione, ritiene di confermare l’orientamento espresso in cautelare favorevole all’accoglimento del gravame.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In relazione alla specifica fattispecie, che si connota per la sua peculiarità, appare illogico e contraddittorio che non sia stata riconosciuta alcuna rilevanza al Master universitario in “Chirurgia orale” conseguito sin dal 2007 dal ricorrente, già laureato da dieci anni in Medicina e Chirurgia, al fine della valutazione della richiesta di iscrizione ad anno successivo al primo nel corso di laurea in Odontoiatria e Protesi dentaria, considerata anche l’unificazione dei test di ingresso con quello per la laurea in Medicina e Chirurgia.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Si ricorda, infatti, il principio di ordine generale secondo cui il diploma conseguito al termine di un corso di specializzazione post universitario - l'accesso al quale è subordinato al necessario previo conseguimento della laurea - costituisce, alla stessa stregua del dottorato di ricerca, titolo superiore rispetto al diploma di laurea (TAR Em.Rom., Pr, 27.4.99, n. 220).</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Ora, al Collegio appare evidente che la connessione tra il corso di laurea in questione e il Master sopra ricordato - precisando che il ricorrente si era laureato in Medicina e Chirurgia nella vigenza dell’ordinamento precedente al 2008 che consentiva un’osmosi proprio tra tale corso e quello di Odontoiatria e Protesi dentaria - può essere considerata idonea a fondare la legittimità della richiesta del ricorrente di non sottoporsi al test di ingresso come gli altri studenti non in possesso dei suoi titoli, tra cui quello rilevante a tale fine del Master su ricordato.</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Se è vero che la selezione imposta “ex lege” per l’accesso alle facoltà come quella di interesse del ricorrente tende al rispetto della programmazione nazionale del relativo fabbisogno nei confronti di soggetti meritevoli, tale valutazione di meritevolezza, in presenza di posti disponibili e quindi nel rispetto della programmazione, può anche essere verificata in virtù di specifici titoli detenuti da un aspirante e non solo ed esclusivamente attraverso test di ingresso idoneo a valutare capacità di base che l’interessato, nel caso di specifico, ha già dimostrato di possedere nel settore specifico conseguendo un Master in disciplina affine.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Per il caso specifico, quindi, appare irragionevole che l’Ateneo non abbia considerato la peculiarità della fattispecie e così irragionevoli altrettanto appaiono tanto il bando di concorso quanto il d.m. n. 196/12 impugnati, nella parte in cui non prevedono la possibilità, per chi, laureato in Medicina e Chirurgia prima del 2008, sia in possesso di Master di II livello in disciplina affine a quella del corso di laurea in Odontoiatria e Protesi dentaria, di potere essere ammesso alla frequenza di anni successivi al primo in presenza di posti disponibili senza sottoporsi al test di ingresso previsto per le ammissioni al primo anno.</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Il ricorso, quindi, sotto tale assorbente profilo, di cui al primo e terzo motivo, deve trovare accoglimento per quel che riguarda la domanda di annullamento e l’Ateneo resistente (come già fatto in esecuzione del disposto cautelare) dovrà rivalutare la posizione del ricorrente, previa ricognizione dei posti disponibili, al fine di una sua iscrizione in anno successivo al primo, anche in ragione degli esami e delle prove sostenute nel conseguire la precedente laurea e il Master universitario in “Chirurgia Orale”.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La disponibilità di posti per gli anni successivi al primo, non contestata dalle Amministrazioni resistenti, esclude poi la presenza di controinteressati nel presente giudizio. </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La domanda risarcitoria non può trovare invece accoglimento, in virtù della tutela cautelare concessa e dell’intervenuta iscrizione con riserva ad anno successivo al primo del ricorrente, in attesa della definizione del giudizio di merito, da parte dell’Università resistente.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Le spese del giudizio possono eccezionalmente compensarsi, attesa la peculiarità e novità della questione e l’accoglimento della sola domanda di annullamento.</w:t>
      </w:r>
    </w:p>
    <w:p>
      <w:pPr>
        <w:spacing w:before="0" w:after="0" w:line="540"/>
        <w:ind w:right="0" w:left="0" w:firstLine="0"/>
        <w:jc w:val="center"/>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P.Q.M.</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Il Tribunale Amministrativo Regionale per il Lazio (Sezione Terza), definitivamente pronunciando sul ricorso, come in epigrafe proposto, lo accoglie e, per l’effetto, annulla i provvedimenti impugnati nei sensi e con le relative disposizioni di cui in motivazione. </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Spese compensate.</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Ordina che la presente sentenza sia eseguita dall'autorità amministrativa.</w:t>
      </w:r>
    </w:p>
    <w:p>
      <w:pPr>
        <w:spacing w:before="0" w:after="0" w:line="520"/>
        <w:ind w:right="0" w:left="0" w:firstLine="0"/>
        <w:jc w:val="both"/>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Così deciso in Roma nella camera di consiglio del 6 novembre 2013 con l'intervento dei magistrati:</w:t>
      </w:r>
    </w:p>
    <w:p>
      <w:pPr>
        <w:spacing w:before="0" w:after="0" w:line="520"/>
        <w:ind w:right="0" w:left="0" w:firstLine="567"/>
        <w:jc w:val="left"/>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Franco Bianchi, Presidente</w:t>
      </w:r>
    </w:p>
    <w:p>
      <w:pPr>
        <w:spacing w:before="0" w:after="0" w:line="520"/>
        <w:ind w:right="0" w:left="0" w:firstLine="567"/>
        <w:jc w:val="left"/>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Ivo Correale, Consigliere, Estensore</w:t>
      </w:r>
    </w:p>
    <w:p>
      <w:pPr>
        <w:spacing w:before="0" w:after="200" w:line="520"/>
        <w:ind w:right="0" w:left="0" w:firstLine="567"/>
        <w:jc w:val="left"/>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Maria Grazia Vivarelli, Consigliere</w:t>
      </w:r>
    </w:p>
    <w:tbl>
      <w:tblPr/>
      <w:tblGrid>
        <w:gridCol w:w="4551"/>
        <w:gridCol w:w="3222"/>
        <w:gridCol w:w="5034"/>
      </w:tblGrid>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L'ESTENSORE</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IL PRESIDENTE</w:t>
            </w: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540"/>
        <w:ind w:right="0" w:left="0" w:firstLine="0"/>
        <w:jc w:val="center"/>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DEPOSITATA IN SEGRETERIA</w:t>
      </w:r>
    </w:p>
    <w:p>
      <w:pPr>
        <w:spacing w:before="0" w:after="0" w:line="540"/>
        <w:ind w:right="0" w:left="0" w:firstLine="0"/>
        <w:jc w:val="center"/>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Il 14/11/2013</w:t>
      </w:r>
    </w:p>
    <w:p>
      <w:pPr>
        <w:spacing w:before="0" w:after="0" w:line="540"/>
        <w:ind w:right="0" w:left="0" w:firstLine="0"/>
        <w:jc w:val="center"/>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IL SEGRETARIO</w:t>
      </w:r>
    </w:p>
    <w:p>
      <w:pPr>
        <w:spacing w:before="0" w:after="200" w:line="540"/>
        <w:ind w:right="0" w:left="0" w:firstLine="0"/>
        <w:jc w:val="center"/>
        <w:rPr>
          <w:rFonts w:ascii="Garamond" w:hAnsi="Garamond" w:cs="Garamond" w:eastAsia="Garamond"/>
          <w:color w:val="auto"/>
          <w:spacing w:val="0"/>
          <w:position w:val="0"/>
          <w:sz w:val="30"/>
          <w:shd w:fill="auto" w:val="clear"/>
        </w:rPr>
      </w:pPr>
      <w:r>
        <w:rPr>
          <w:rFonts w:ascii="Garamond" w:hAnsi="Garamond" w:cs="Garamond" w:eastAsia="Garamond"/>
          <w:color w:val="auto"/>
          <w:spacing w:val="0"/>
          <w:position w:val="0"/>
          <w:sz w:val="30"/>
          <w:shd w:fill="auto" w:val="clear"/>
        </w:rPr>
        <w:t xml:space="preserve">(Art. 89, co. 3, cod. proc. amm.)</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