
<file path=[Content_Types].xml><?xml version="1.0" encoding="utf-8"?>
<Types xmlns="http://schemas.openxmlformats.org/package/2006/content-types">
  <Default Extension="rels" ContentType="application/vnd.openxmlformats-package.relationships+xml"/>
  <Default Extension="xml" ContentType="application/vnd.openxmlformats-officedocument.wordprocessingml.document.main+xml"/>
  <Default Extension="bin" ContentType="application/vnd.openxmlformats-officedocument.oleObject"/>
  <Override PartName="/word/numbering.xml" ContentType="application/vnd.openxmlformats-officedocument.wordprocessingml.numbering+xml"/>
  <Default Extension="wmf" ContentType="image/x-wmf"/>
  <Override PartName="/word/styles.xml" ContentType="application/vnd.openxmlformats-officedocument.wordprocessingml.styles+xml"/>
</Types>
</file>

<file path=_rels/.rels><?xml version="1.0"?><Relationships xmlns="http://schemas.openxmlformats.org/package/2006/relationships"><Relationship Target="word/document.xml" Id="pkgRId0" Type="http://schemas.openxmlformats.org/officeDocument/2006/relationships/officeDocument"/></Relationships>
</file>

<file path=word/document.xml><?xml version="1.0" encoding="utf-8"?>
<w:document xmlns:w="http://schemas.openxmlformats.org/wordprocessingml/2006/main">
  <w:body>
    <w:p>
      <w:pPr>
        <w:spacing w:before="100" w:after="100" w:line="240"/>
        <w:ind w:right="0" w:left="0" w:firstLine="0"/>
        <w:jc w:val="right"/>
        <w:rPr>
          <w:rFonts w:ascii="Times Nordic" w:hAnsi="Times Nordic" w:cs="Times Nordic" w:eastAsia="Times Nordic"/>
          <w:b/>
          <w:color w:val="000000"/>
          <w:spacing w:val="0"/>
          <w:position w:val="0"/>
          <w:sz w:val="22"/>
          <w:shd w:fill="auto" w:val="clear"/>
        </w:rPr>
      </w:pPr>
      <w:r>
        <w:rPr>
          <w:rFonts w:ascii="Times Nordic" w:hAnsi="Times Nordic" w:cs="Times Nordic" w:eastAsia="Times Nordic"/>
          <w:b/>
          <w:color w:val="000000"/>
          <w:spacing w:val="0"/>
          <w:position w:val="0"/>
          <w:sz w:val="22"/>
          <w:shd w:fill="auto" w:val="clear"/>
        </w:rPr>
        <w:t xml:space="preserve">N. ....REG.PROV.COLL.</w:t>
      </w:r>
    </w:p>
    <w:p>
      <w:pPr>
        <w:spacing w:before="100" w:after="100" w:line="240"/>
        <w:ind w:right="0" w:left="0" w:firstLine="0"/>
        <w:jc w:val="right"/>
        <w:rPr>
          <w:rFonts w:ascii="Times Nordic" w:hAnsi="Times Nordic" w:cs="Times Nordic" w:eastAsia="Times Nordic"/>
          <w:b/>
          <w:color w:val="000000"/>
          <w:spacing w:val="0"/>
          <w:position w:val="0"/>
          <w:sz w:val="22"/>
          <w:shd w:fill="auto" w:val="clear"/>
        </w:rPr>
      </w:pPr>
      <w:r>
        <w:rPr>
          <w:rFonts w:ascii="Times Nordic" w:hAnsi="Times Nordic" w:cs="Times Nordic" w:eastAsia="Times Nordic"/>
          <w:b/>
          <w:color w:val="000000"/>
          <w:spacing w:val="0"/>
          <w:position w:val="0"/>
          <w:sz w:val="22"/>
          <w:shd w:fill="auto" w:val="clear"/>
        </w:rPr>
        <w:t xml:space="preserve">N.  .....REG.RIC.</w:t>
      </w:r>
    </w:p>
    <w:p>
      <w:pPr>
        <w:spacing w:before="100" w:after="100" w:line="240"/>
        <w:ind w:right="0" w:left="0" w:firstLine="0"/>
        <w:jc w:val="center"/>
        <w:rPr>
          <w:rFonts w:ascii="Garamond" w:hAnsi="Garamond" w:cs="Garamond" w:eastAsia="Garamond"/>
          <w:b/>
          <w:color w:val="000000"/>
          <w:spacing w:val="125"/>
          <w:position w:val="0"/>
          <w:sz w:val="27"/>
          <w:shd w:fill="auto" w:val="clear"/>
        </w:rPr>
      </w:pPr>
      <w:r>
        <w:object w:dxaOrig="1113" w:dyaOrig="1275">
          <v:rect xmlns:o="urn:schemas-microsoft-com:office:office" xmlns:v="urn:schemas-microsoft-com:vml" id="rectole0000000000" style="width:55.650000pt;height:63.750000pt" o:preferrelative="t" o:ole="">
            <o:lock v:ext="edit"/>
            <v:imagedata xmlns:r="http://schemas.openxmlformats.org/officeDocument/2006/relationships" r:id="docRId1" o:title=""/>
          </v:rect>
          <o:OLEObject xmlns:r="http://schemas.openxmlformats.org/officeDocument/2006/relationships" xmlns:o="urn:schemas-microsoft-com:office:office" Type="Embed" ProgID="StaticMetafile" DrawAspect="Content" ObjectID="0000000000" ShapeID="rectole0000000000" r:id="docRId0"/>
        </w:object>
      </w:r>
    </w:p>
    <w:p>
      <w:pPr>
        <w:spacing w:before="100" w:after="100" w:line="240"/>
        <w:ind w:right="0" w:left="0" w:firstLine="0"/>
        <w:jc w:val="center"/>
        <w:rPr>
          <w:rFonts w:ascii="Garamond" w:hAnsi="Garamond" w:cs="Garamond" w:eastAsia="Garamond"/>
          <w:b/>
          <w:color w:val="000000"/>
          <w:spacing w:val="125"/>
          <w:position w:val="0"/>
          <w:sz w:val="27"/>
          <w:shd w:fill="auto" w:val="clear"/>
        </w:rPr>
      </w:pPr>
      <w:r>
        <w:rPr>
          <w:rFonts w:ascii="Garamond" w:hAnsi="Garamond" w:cs="Garamond" w:eastAsia="Garamond"/>
          <w:b/>
          <w:color w:val="000000"/>
          <w:spacing w:val="125"/>
          <w:position w:val="0"/>
          <w:sz w:val="27"/>
          <w:shd w:fill="auto" w:val="clear"/>
        </w:rPr>
        <w:t xml:space="preserve">REPUBBLICA ITALIANA</w:t>
      </w:r>
    </w:p>
    <w:p>
      <w:pPr>
        <w:spacing w:before="100" w:after="100" w:line="240"/>
        <w:ind w:right="0" w:left="0" w:firstLine="0"/>
        <w:jc w:val="center"/>
        <w:rPr>
          <w:rFonts w:ascii="Garamond" w:hAnsi="Garamond" w:cs="Garamond" w:eastAsia="Garamond"/>
          <w:b/>
          <w:color w:val="000000"/>
          <w:spacing w:val="0"/>
          <w:position w:val="0"/>
          <w:sz w:val="22"/>
          <w:shd w:fill="auto" w:val="clear"/>
        </w:rPr>
      </w:pPr>
      <w:r>
        <w:rPr>
          <w:rFonts w:ascii="Garamond" w:hAnsi="Garamond" w:cs="Garamond" w:eastAsia="Garamond"/>
          <w:b/>
          <w:color w:val="000000"/>
          <w:spacing w:val="0"/>
          <w:position w:val="0"/>
          <w:sz w:val="22"/>
          <w:shd w:fill="auto" w:val="clear"/>
        </w:rPr>
        <w:t xml:space="preserve">IN NOME DEL POPOLO ITALIANO</w:t>
      </w:r>
    </w:p>
    <w:p>
      <w:pPr>
        <w:spacing w:before="100" w:after="100" w:line="240"/>
        <w:ind w:right="0" w:left="0" w:firstLine="0"/>
        <w:jc w:val="center"/>
        <w:rPr>
          <w:rFonts w:ascii="Garamond" w:hAnsi="Garamond" w:cs="Garamond" w:eastAsia="Garamond"/>
          <w:b/>
          <w:color w:val="000000"/>
          <w:spacing w:val="0"/>
          <w:position w:val="0"/>
          <w:sz w:val="26"/>
          <w:shd w:fill="auto" w:val="clear"/>
        </w:rPr>
      </w:pPr>
      <w:r>
        <w:rPr>
          <w:rFonts w:ascii="Garamond" w:hAnsi="Garamond" w:cs="Garamond" w:eastAsia="Garamond"/>
          <w:b/>
          <w:color w:val="000000"/>
          <w:spacing w:val="0"/>
          <w:position w:val="0"/>
          <w:sz w:val="26"/>
          <w:shd w:fill="auto" w:val="clear"/>
        </w:rPr>
        <w:t xml:space="preserve">Il Tribunale Amministrativo Regionale per il Lazio</w:t>
      </w:r>
    </w:p>
    <w:p>
      <w:pPr>
        <w:spacing w:before="100" w:after="100" w:line="240"/>
        <w:ind w:right="0" w:left="0" w:firstLine="0"/>
        <w:jc w:val="center"/>
        <w:rPr>
          <w:rFonts w:ascii="Garamond" w:hAnsi="Garamond" w:cs="Garamond" w:eastAsia="Garamond"/>
          <w:b/>
          <w:color w:val="000000"/>
          <w:spacing w:val="0"/>
          <w:position w:val="0"/>
          <w:sz w:val="26"/>
          <w:shd w:fill="auto" w:val="clear"/>
        </w:rPr>
      </w:pPr>
      <w:r>
        <w:rPr>
          <w:rFonts w:ascii="Garamond" w:hAnsi="Garamond" w:cs="Garamond" w:eastAsia="Garamond"/>
          <w:b/>
          <w:color w:val="000000"/>
          <w:spacing w:val="0"/>
          <w:position w:val="0"/>
          <w:sz w:val="26"/>
          <w:shd w:fill="auto" w:val="clear"/>
        </w:rPr>
        <w:t xml:space="preserve">(Sezione Terza)</w:t>
      </w:r>
    </w:p>
    <w:p>
      <w:pPr>
        <w:spacing w:before="0" w:after="0" w:line="520"/>
        <w:ind w:right="0" w:left="0" w:firstLine="567"/>
        <w:jc w:val="left"/>
        <w:rPr>
          <w:rFonts w:ascii="Garamond" w:hAnsi="Garamond" w:cs="Garamond" w:eastAsia="Garamond"/>
          <w:color w:val="000000"/>
          <w:spacing w:val="0"/>
          <w:position w:val="0"/>
          <w:sz w:val="30"/>
          <w:shd w:fill="auto" w:val="clear"/>
        </w:rPr>
      </w:pPr>
      <w:r>
        <w:rPr>
          <w:rFonts w:ascii="Garamond" w:hAnsi="Garamond" w:cs="Garamond" w:eastAsia="Garamond"/>
          <w:color w:val="000000"/>
          <w:spacing w:val="0"/>
          <w:position w:val="0"/>
          <w:sz w:val="30"/>
          <w:shd w:fill="auto" w:val="clear"/>
        </w:rPr>
        <w:t xml:space="preserve">ha pronunciato la presente</w:t>
      </w:r>
    </w:p>
    <w:p>
      <w:pPr>
        <w:spacing w:before="100" w:after="100" w:line="240"/>
        <w:ind w:right="0" w:left="0" w:firstLine="0"/>
        <w:jc w:val="center"/>
        <w:rPr>
          <w:rFonts w:ascii="Garamond" w:hAnsi="Garamond" w:cs="Garamond" w:eastAsia="Garamond"/>
          <w:b/>
          <w:color w:val="000000"/>
          <w:spacing w:val="0"/>
          <w:position w:val="0"/>
          <w:sz w:val="26"/>
          <w:shd w:fill="auto" w:val="clear"/>
        </w:rPr>
      </w:pPr>
      <w:r>
        <w:rPr>
          <w:rFonts w:ascii="Garamond" w:hAnsi="Garamond" w:cs="Garamond" w:eastAsia="Garamond"/>
          <w:b/>
          <w:color w:val="000000"/>
          <w:spacing w:val="0"/>
          <w:position w:val="0"/>
          <w:sz w:val="26"/>
          <w:shd w:fill="auto" w:val="clear"/>
        </w:rPr>
        <w:t xml:space="preserve">SENTENZA</w:t>
      </w:r>
    </w:p>
    <w:p>
      <w:pPr>
        <w:spacing w:before="0" w:after="0" w:line="520"/>
        <w:ind w:right="0" w:left="0" w:firstLine="0"/>
        <w:jc w:val="both"/>
        <w:rPr>
          <w:rFonts w:ascii="Garamond" w:hAnsi="Garamond" w:cs="Garamond" w:eastAsia="Garamond"/>
          <w:color w:val="000000"/>
          <w:spacing w:val="0"/>
          <w:position w:val="0"/>
          <w:sz w:val="30"/>
          <w:shd w:fill="auto" w:val="clear"/>
        </w:rPr>
      </w:pPr>
      <w:r>
        <w:rPr>
          <w:rFonts w:ascii="Garamond" w:hAnsi="Garamond" w:cs="Garamond" w:eastAsia="Garamond"/>
          <w:color w:val="000000"/>
          <w:spacing w:val="0"/>
          <w:position w:val="0"/>
          <w:sz w:val="30"/>
          <w:shd w:fill="auto" w:val="clear"/>
        </w:rPr>
        <w:t xml:space="preserve">sul ricorso numero di registro generale ...... del 2012, proposto da: </w:t>
        <w:br/>
      </w:r>
      <w:r>
        <w:rPr>
          <w:rFonts w:ascii="Garamond" w:hAnsi="Garamond" w:cs="Garamond" w:eastAsia="Garamond"/>
          <w:color w:val="000000"/>
          <w:spacing w:val="0"/>
          <w:position w:val="0"/>
          <w:sz w:val="30"/>
          <w:shd w:fill="000000" w:val="clear"/>
        </w:rPr>
        <w:t xml:space="preserve">Michela Massimi</w:t>
      </w:r>
      <w:r>
        <w:rPr>
          <w:rFonts w:ascii="Garamond" w:hAnsi="Garamond" w:cs="Garamond" w:eastAsia="Garamond"/>
          <w:color w:val="000000"/>
          <w:spacing w:val="0"/>
          <w:position w:val="0"/>
          <w:sz w:val="30"/>
          <w:shd w:fill="auto" w:val="clear"/>
        </w:rPr>
        <w:t xml:space="preserve">, rappresentata e difesa dagli avv.ti Santi Delia e Michele Bonetti, con domicilio eletto presso il secondo in Roma, via Tommaso D'Aquino 47; </w:t>
      </w:r>
    </w:p>
    <w:p>
      <w:pPr>
        <w:spacing w:before="0" w:after="0" w:line="520"/>
        <w:ind w:right="0" w:left="0" w:firstLine="0"/>
        <w:jc w:val="center"/>
        <w:rPr>
          <w:rFonts w:ascii="Garamond" w:hAnsi="Garamond" w:cs="Garamond" w:eastAsia="Garamond"/>
          <w:b/>
          <w:i/>
          <w:color w:val="000000"/>
          <w:spacing w:val="0"/>
          <w:position w:val="0"/>
          <w:sz w:val="30"/>
          <w:shd w:fill="auto" w:val="clear"/>
        </w:rPr>
      </w:pPr>
      <w:r>
        <w:rPr>
          <w:rFonts w:ascii="Garamond" w:hAnsi="Garamond" w:cs="Garamond" w:eastAsia="Garamond"/>
          <w:b/>
          <w:i/>
          <w:color w:val="000000"/>
          <w:spacing w:val="0"/>
          <w:position w:val="0"/>
          <w:sz w:val="30"/>
          <w:shd w:fill="auto" w:val="clear"/>
        </w:rPr>
        <w:t xml:space="preserve">contro</w:t>
      </w:r>
    </w:p>
    <w:p>
      <w:pPr>
        <w:spacing w:before="0" w:after="0" w:line="520"/>
        <w:ind w:right="0" w:left="0" w:firstLine="0"/>
        <w:jc w:val="both"/>
        <w:rPr>
          <w:rFonts w:ascii="Garamond" w:hAnsi="Garamond" w:cs="Garamond" w:eastAsia="Garamond"/>
          <w:color w:val="000000"/>
          <w:spacing w:val="0"/>
          <w:position w:val="0"/>
          <w:sz w:val="30"/>
          <w:shd w:fill="auto" w:val="clear"/>
        </w:rPr>
      </w:pPr>
      <w:r>
        <w:rPr>
          <w:rFonts w:ascii="Garamond" w:hAnsi="Garamond" w:cs="Garamond" w:eastAsia="Garamond"/>
          <w:color w:val="000000"/>
          <w:spacing w:val="0"/>
          <w:position w:val="0"/>
          <w:sz w:val="30"/>
          <w:shd w:fill="auto" w:val="clear"/>
        </w:rPr>
        <w:t xml:space="preserve">Università degli Studi di Roma "La Sapienza", in persona del Rettore p.t., e Ministero dell'Istruzione dell'Universita' e della Ricerca, in persona del Ministro p.t.; </w:t>
      </w:r>
    </w:p>
    <w:p>
      <w:pPr>
        <w:spacing w:before="0" w:after="0" w:line="520"/>
        <w:ind w:right="0" w:left="0" w:firstLine="0"/>
        <w:jc w:val="center"/>
        <w:rPr>
          <w:rFonts w:ascii="Garamond" w:hAnsi="Garamond" w:cs="Garamond" w:eastAsia="Garamond"/>
          <w:b/>
          <w:i/>
          <w:color w:val="000000"/>
          <w:spacing w:val="0"/>
          <w:position w:val="0"/>
          <w:sz w:val="30"/>
          <w:shd w:fill="auto" w:val="clear"/>
        </w:rPr>
      </w:pPr>
      <w:r>
        <w:rPr>
          <w:rFonts w:ascii="Garamond" w:hAnsi="Garamond" w:cs="Garamond" w:eastAsia="Garamond"/>
          <w:b/>
          <w:i/>
          <w:color w:val="000000"/>
          <w:spacing w:val="0"/>
          <w:position w:val="0"/>
          <w:sz w:val="30"/>
          <w:shd w:fill="auto" w:val="clear"/>
        </w:rPr>
        <w:t xml:space="preserve">nei confronti di</w:t>
      </w:r>
    </w:p>
    <w:p>
      <w:pPr>
        <w:spacing w:before="0" w:after="0" w:line="520"/>
        <w:ind w:right="0" w:left="0" w:firstLine="0"/>
        <w:jc w:val="both"/>
        <w:rPr>
          <w:rFonts w:ascii="Garamond" w:hAnsi="Garamond" w:cs="Garamond" w:eastAsia="Garamond"/>
          <w:color w:val="000000"/>
          <w:spacing w:val="0"/>
          <w:position w:val="0"/>
          <w:sz w:val="30"/>
          <w:shd w:fill="auto" w:val="clear"/>
        </w:rPr>
      </w:pPr>
      <w:r>
        <w:rPr>
          <w:rFonts w:ascii="Garamond" w:hAnsi="Garamond" w:cs="Garamond" w:eastAsia="Garamond"/>
          <w:color w:val="000000"/>
          <w:spacing w:val="0"/>
          <w:position w:val="0"/>
          <w:sz w:val="30"/>
          <w:shd w:fill="000000" w:val="clear"/>
        </w:rPr>
        <w:t xml:space="preserve">Stefano De Carolis, Michele Di Fiore, Domenico Curatolo;</w:t>
      </w:r>
      <w:r>
        <w:rPr>
          <w:rFonts w:ascii="Garamond" w:hAnsi="Garamond" w:cs="Garamond" w:eastAsia="Garamond"/>
          <w:color w:val="000000"/>
          <w:spacing w:val="0"/>
          <w:position w:val="0"/>
          <w:sz w:val="30"/>
          <w:shd w:fill="auto" w:val="clear"/>
        </w:rPr>
        <w:t xml:space="preserve"> </w:t>
      </w:r>
    </w:p>
    <w:p>
      <w:pPr>
        <w:spacing w:before="0" w:after="0" w:line="520"/>
        <w:ind w:right="0" w:left="0" w:firstLine="0"/>
        <w:jc w:val="center"/>
        <w:rPr>
          <w:rFonts w:ascii="Garamond" w:hAnsi="Garamond" w:cs="Garamond" w:eastAsia="Garamond"/>
          <w:b/>
          <w:i/>
          <w:color w:val="000000"/>
          <w:spacing w:val="0"/>
          <w:position w:val="0"/>
          <w:sz w:val="30"/>
          <w:shd w:fill="auto" w:val="clear"/>
        </w:rPr>
      </w:pPr>
      <w:r>
        <w:rPr>
          <w:rFonts w:ascii="Garamond" w:hAnsi="Garamond" w:cs="Garamond" w:eastAsia="Garamond"/>
          <w:b/>
          <w:i/>
          <w:color w:val="000000"/>
          <w:spacing w:val="0"/>
          <w:position w:val="0"/>
          <w:sz w:val="30"/>
          <w:shd w:fill="auto" w:val="clear"/>
        </w:rPr>
        <w:t xml:space="preserve">per l'annullamento, previa misura cautelare, in parte qua e nella parte in cui occorrer possa</w:t>
      </w:r>
    </w:p>
    <w:p>
      <w:pPr>
        <w:spacing w:before="0" w:after="0" w:line="520"/>
        <w:ind w:right="0" w:left="0" w:firstLine="0"/>
        <w:jc w:val="both"/>
        <w:rPr>
          <w:rFonts w:ascii="Garamond" w:hAnsi="Garamond" w:cs="Garamond" w:eastAsia="Garamond"/>
          <w:color w:val="000000"/>
          <w:spacing w:val="0"/>
          <w:position w:val="0"/>
          <w:sz w:val="30"/>
          <w:shd w:fill="auto" w:val="clear"/>
        </w:rPr>
      </w:pPr>
      <w:r>
        <w:rPr>
          <w:rFonts w:ascii="Garamond" w:hAnsi="Garamond" w:cs="Garamond" w:eastAsia="Garamond"/>
          <w:color w:val="000000"/>
          <w:spacing w:val="0"/>
          <w:position w:val="0"/>
          <w:sz w:val="30"/>
          <w:shd w:fill="auto" w:val="clear"/>
        </w:rPr>
        <w:t xml:space="preserve">a) del D.M. 28 giugno 2012, n. 196 con particolare riferimento all’art. 10 (Graduatorie, Soglia di punteggio minimo e valutazione delle prove);</w:t>
      </w:r>
    </w:p>
    <w:p>
      <w:pPr>
        <w:spacing w:before="0" w:after="0" w:line="520"/>
        <w:ind w:right="0" w:left="0" w:firstLine="0"/>
        <w:jc w:val="both"/>
        <w:rPr>
          <w:rFonts w:ascii="Garamond" w:hAnsi="Garamond" w:cs="Garamond" w:eastAsia="Garamond"/>
          <w:color w:val="000000"/>
          <w:spacing w:val="0"/>
          <w:position w:val="0"/>
          <w:sz w:val="30"/>
          <w:shd w:fill="auto" w:val="clear"/>
        </w:rPr>
      </w:pPr>
      <w:r>
        <w:rPr>
          <w:rFonts w:ascii="Garamond" w:hAnsi="Garamond" w:cs="Garamond" w:eastAsia="Garamond"/>
          <w:color w:val="000000"/>
          <w:spacing w:val="0"/>
          <w:position w:val="0"/>
          <w:sz w:val="30"/>
          <w:shd w:fill="auto" w:val="clear"/>
        </w:rPr>
        <w:t xml:space="preserve">b) del D.M. 28 giugno 2012, n. 200 nella parte in cui dispone che “Per l’anno accademico 2012-2013 i posti determinati a livello nazionale per le immatricolazione degli studenti comunitari e non comunitari residenti in Italia, di cui all’art. 26 della legge 30 luglio 2002, n. 189 ai corsi di laurea e di laurea magistrale a ciclo unico, direttamente finalizzati alla formazione di architetto sono 8.720, ripartiti fra le università secondo la tabella allegata al presente decreto (art. 1)”, nonché della tabella sulla definizione dei posti allegata al D.M. 28 giugno 2012, n. 200 nella parte in cui definisce in n. 171 i posti per il corso di Scienza dell’Architettura presso la Sapienza di Roma;</w:t>
      </w:r>
    </w:p>
    <w:p>
      <w:pPr>
        <w:spacing w:before="0" w:after="0" w:line="520"/>
        <w:ind w:right="0" w:left="0" w:firstLine="0"/>
        <w:jc w:val="both"/>
        <w:rPr>
          <w:rFonts w:ascii="Garamond" w:hAnsi="Garamond" w:cs="Garamond" w:eastAsia="Garamond"/>
          <w:color w:val="000000"/>
          <w:spacing w:val="0"/>
          <w:position w:val="0"/>
          <w:sz w:val="30"/>
          <w:shd w:fill="auto" w:val="clear"/>
        </w:rPr>
      </w:pPr>
      <w:r>
        <w:rPr>
          <w:rFonts w:ascii="Garamond" w:hAnsi="Garamond" w:cs="Garamond" w:eastAsia="Garamond"/>
          <w:color w:val="000000"/>
          <w:spacing w:val="0"/>
          <w:position w:val="0"/>
          <w:sz w:val="30"/>
          <w:shd w:fill="auto" w:val="clear"/>
        </w:rPr>
        <w:t xml:space="preserve">c) del Bando di concorso datato 4 luglio 2012, con particolare riferimento a quanto statuito dall’art. 2 secondo cui “il numero di posti disponibili per i cittadini italiani, i cittadini comunitari ovunque residenti ed i cittadini extra Unione europea regolarmente soggiornanti in Italia di cui all’art. 26 della legge n. 189/2002 è pari a 171. Il numero di posti disponibili per i candidati provenienti da Paesi extra Unione Europea non regolarmente soggiornanti in Italia è pari a 9 (di cui 1 riservato a cittadini di nazionalità cinese);</w:t>
      </w:r>
    </w:p>
    <w:p>
      <w:pPr>
        <w:spacing w:before="0" w:after="0" w:line="520"/>
        <w:ind w:right="0" w:left="0" w:firstLine="0"/>
        <w:jc w:val="both"/>
        <w:rPr>
          <w:rFonts w:ascii="Garamond" w:hAnsi="Garamond" w:cs="Garamond" w:eastAsia="Garamond"/>
          <w:color w:val="000000"/>
          <w:spacing w:val="0"/>
          <w:position w:val="0"/>
          <w:sz w:val="30"/>
          <w:shd w:fill="auto" w:val="clear"/>
        </w:rPr>
      </w:pPr>
      <w:r>
        <w:rPr>
          <w:rFonts w:ascii="Garamond" w:hAnsi="Garamond" w:cs="Garamond" w:eastAsia="Garamond"/>
          <w:color w:val="000000"/>
          <w:spacing w:val="0"/>
          <w:position w:val="0"/>
          <w:sz w:val="30"/>
          <w:shd w:fill="auto" w:val="clear"/>
        </w:rPr>
        <w:t xml:space="preserve">d) della graduatoria di concorso nella sola parte in cui non permette l’immatricolazione della ricorrente alla facoltà di cui in atti e di tutti gli atti presupposti e connessi anche indirettamente per i motivi di seguito esplicati;</w:t>
      </w:r>
    </w:p>
    <w:p>
      <w:pPr>
        <w:spacing w:before="0" w:after="0" w:line="520"/>
        <w:ind w:right="0" w:left="0" w:firstLine="0"/>
        <w:jc w:val="both"/>
        <w:rPr>
          <w:rFonts w:ascii="Garamond" w:hAnsi="Garamond" w:cs="Garamond" w:eastAsia="Garamond"/>
          <w:color w:val="000000"/>
          <w:spacing w:val="0"/>
          <w:position w:val="0"/>
          <w:sz w:val="30"/>
          <w:shd w:fill="auto" w:val="clear"/>
        </w:rPr>
      </w:pPr>
      <w:r>
        <w:rPr>
          <w:rFonts w:ascii="Garamond" w:hAnsi="Garamond" w:cs="Garamond" w:eastAsia="Garamond"/>
          <w:color w:val="000000"/>
          <w:spacing w:val="0"/>
          <w:position w:val="0"/>
          <w:sz w:val="30"/>
          <w:shd w:fill="auto" w:val="clear"/>
        </w:rPr>
        <w:t xml:space="preserve">e) del provvedimento, nota, D.M. o altra fonte non conosciuta, con cui è stata “abbonata” la domanda n. 79 (secondo l’ordine ministeriale), dei verbali della commissione sulla formulazione del quesito n. 79, dei verbali della commissione sull’annullamento/abbonamento del predetto quesito;</w:t>
      </w:r>
    </w:p>
    <w:p>
      <w:pPr>
        <w:spacing w:before="0" w:after="0" w:line="520"/>
        <w:ind w:right="0" w:left="0" w:firstLine="0"/>
        <w:jc w:val="both"/>
        <w:rPr>
          <w:rFonts w:ascii="Garamond" w:hAnsi="Garamond" w:cs="Garamond" w:eastAsia="Garamond"/>
          <w:color w:val="000000"/>
          <w:spacing w:val="0"/>
          <w:position w:val="0"/>
          <w:sz w:val="30"/>
          <w:shd w:fill="auto" w:val="clear"/>
        </w:rPr>
      </w:pPr>
      <w:r>
        <w:rPr>
          <w:rFonts w:ascii="Garamond" w:hAnsi="Garamond" w:cs="Garamond" w:eastAsia="Garamond"/>
          <w:color w:val="000000"/>
          <w:spacing w:val="0"/>
          <w:position w:val="0"/>
          <w:sz w:val="30"/>
          <w:shd w:fill="auto" w:val="clear"/>
        </w:rPr>
        <w:t xml:space="preserve">f) di tutti gli atti anche non conosciuti presupposti, successivi ed anche indirettamente connessi agli atti sopra indicati e che comunque impediscono l’immatricolazione della ricorrente al corso di studi di cui in atti e che comunque ne limitano l’esercizio del diritto allo studio</w:t>
      </w:r>
    </w:p>
    <w:p>
      <w:pPr>
        <w:spacing w:before="0" w:after="0" w:line="520"/>
        <w:ind w:right="0" w:left="0" w:firstLine="0"/>
        <w:jc w:val="both"/>
        <w:rPr>
          <w:rFonts w:ascii="Garamond" w:hAnsi="Garamond" w:cs="Garamond" w:eastAsia="Garamond"/>
          <w:color w:val="000000"/>
          <w:spacing w:val="0"/>
          <w:position w:val="0"/>
          <w:sz w:val="30"/>
          <w:shd w:fill="auto" w:val="clear"/>
        </w:rPr>
      </w:pPr>
      <w:r>
        <w:rPr>
          <w:rFonts w:ascii="Garamond" w:hAnsi="Garamond" w:cs="Garamond" w:eastAsia="Garamond"/>
          <w:color w:val="000000"/>
          <w:spacing w:val="0"/>
          <w:position w:val="0"/>
          <w:sz w:val="30"/>
          <w:shd w:fill="auto" w:val="clear"/>
        </w:rPr>
        <w:t xml:space="preserve">e per l’accertamento del diritto</w:t>
      </w:r>
    </w:p>
    <w:p>
      <w:pPr>
        <w:spacing w:before="0" w:after="0" w:line="520"/>
        <w:ind w:right="0" w:left="0" w:firstLine="0"/>
        <w:jc w:val="both"/>
        <w:rPr>
          <w:rFonts w:ascii="Garamond" w:hAnsi="Garamond" w:cs="Garamond" w:eastAsia="Garamond"/>
          <w:color w:val="000000"/>
          <w:spacing w:val="0"/>
          <w:position w:val="0"/>
          <w:sz w:val="30"/>
          <w:shd w:fill="auto" w:val="clear"/>
        </w:rPr>
      </w:pPr>
      <w:r>
        <w:rPr>
          <w:rFonts w:ascii="Garamond" w:hAnsi="Garamond" w:cs="Garamond" w:eastAsia="Garamond"/>
          <w:color w:val="000000"/>
          <w:spacing w:val="0"/>
          <w:position w:val="0"/>
          <w:sz w:val="30"/>
          <w:shd w:fill="auto" w:val="clear"/>
        </w:rPr>
        <w:t xml:space="preserve">di parte ricorrente di essere immatricolata al corso di laurea in Scienze dell’Architettura della facoltà di Architettura presso la Sapienza-Università di Roma a.a. 2012/2013</w:t>
      </w:r>
    </w:p>
    <w:p>
      <w:pPr>
        <w:spacing w:before="0" w:after="0" w:line="520"/>
        <w:ind w:right="0" w:left="0" w:firstLine="0"/>
        <w:jc w:val="both"/>
        <w:rPr>
          <w:rFonts w:ascii="Garamond" w:hAnsi="Garamond" w:cs="Garamond" w:eastAsia="Garamond"/>
          <w:color w:val="000000"/>
          <w:spacing w:val="0"/>
          <w:position w:val="0"/>
          <w:sz w:val="30"/>
          <w:shd w:fill="auto" w:val="clear"/>
        </w:rPr>
      </w:pPr>
      <w:r>
        <w:rPr>
          <w:rFonts w:ascii="Garamond" w:hAnsi="Garamond" w:cs="Garamond" w:eastAsia="Garamond"/>
          <w:color w:val="000000"/>
          <w:spacing w:val="0"/>
          <w:position w:val="0"/>
          <w:sz w:val="30"/>
          <w:shd w:fill="auto" w:val="clear"/>
        </w:rPr>
        <w:t xml:space="preserve">e per la condanna in forma specifica</w:t>
      </w:r>
    </w:p>
    <w:p>
      <w:pPr>
        <w:spacing w:before="0" w:after="0" w:line="520"/>
        <w:ind w:right="0" w:left="0" w:firstLine="0"/>
        <w:jc w:val="both"/>
        <w:rPr>
          <w:rFonts w:ascii="Garamond" w:hAnsi="Garamond" w:cs="Garamond" w:eastAsia="Garamond"/>
          <w:color w:val="000000"/>
          <w:spacing w:val="0"/>
          <w:position w:val="0"/>
          <w:sz w:val="30"/>
          <w:shd w:fill="auto" w:val="clear"/>
        </w:rPr>
      </w:pPr>
      <w:r>
        <w:rPr>
          <w:rFonts w:ascii="Garamond" w:hAnsi="Garamond" w:cs="Garamond" w:eastAsia="Garamond"/>
          <w:color w:val="000000"/>
          <w:spacing w:val="0"/>
          <w:position w:val="0"/>
          <w:sz w:val="30"/>
          <w:shd w:fill="auto" w:val="clear"/>
        </w:rPr>
        <w:t xml:space="preserve">delle Amministrazioni intimate all’adozione del relativo provvedimento di ammissione al corso di laurea per cui è causa nonché, ove occorra, e comunque, in via subordinata, al pagamento delle relative somme, con interessi e rivalutazione, come per legge.</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7"/>
          <w:shd w:fill="auto" w:val="clear"/>
        </w:rPr>
        <w:br/>
      </w:r>
    </w:p>
    <w:p>
      <w:pPr>
        <w:spacing w:before="0" w:after="0" w:line="520"/>
        <w:ind w:right="0" w:left="0" w:firstLine="0"/>
        <w:jc w:val="both"/>
        <w:rPr>
          <w:rFonts w:ascii="Garamond" w:hAnsi="Garamond" w:cs="Garamond" w:eastAsia="Garamond"/>
          <w:color w:val="000000"/>
          <w:spacing w:val="0"/>
          <w:position w:val="0"/>
          <w:sz w:val="30"/>
          <w:shd w:fill="auto" w:val="clear"/>
        </w:rPr>
      </w:pPr>
      <w:r>
        <w:rPr>
          <w:rFonts w:ascii="Garamond" w:hAnsi="Garamond" w:cs="Garamond" w:eastAsia="Garamond"/>
          <w:color w:val="000000"/>
          <w:spacing w:val="0"/>
          <w:position w:val="0"/>
          <w:sz w:val="30"/>
          <w:shd w:fill="auto" w:val="clear"/>
        </w:rPr>
        <w:t xml:space="preserve">Visti il ricorso e i relativi allegati;</w:t>
      </w:r>
    </w:p>
    <w:p>
      <w:pPr>
        <w:spacing w:before="0" w:after="0" w:line="520"/>
        <w:ind w:right="0" w:left="0" w:firstLine="0"/>
        <w:jc w:val="both"/>
        <w:rPr>
          <w:rFonts w:ascii="Garamond" w:hAnsi="Garamond" w:cs="Garamond" w:eastAsia="Garamond"/>
          <w:color w:val="000000"/>
          <w:spacing w:val="0"/>
          <w:position w:val="0"/>
          <w:sz w:val="30"/>
          <w:shd w:fill="auto" w:val="clear"/>
        </w:rPr>
      </w:pPr>
      <w:r>
        <w:rPr>
          <w:rFonts w:ascii="Garamond" w:hAnsi="Garamond" w:cs="Garamond" w:eastAsia="Garamond"/>
          <w:color w:val="000000"/>
          <w:spacing w:val="0"/>
          <w:position w:val="0"/>
          <w:sz w:val="30"/>
          <w:shd w:fill="auto" w:val="clear"/>
        </w:rPr>
        <w:t xml:space="preserve">Visto il decreto cautelare presidenziale monocratico di questa Sezione n. 4035/12 del 9.11.2012;</w:t>
      </w:r>
    </w:p>
    <w:p>
      <w:pPr>
        <w:spacing w:before="0" w:after="0" w:line="520"/>
        <w:ind w:right="0" w:left="0" w:firstLine="0"/>
        <w:jc w:val="both"/>
        <w:rPr>
          <w:rFonts w:ascii="Garamond" w:hAnsi="Garamond" w:cs="Garamond" w:eastAsia="Garamond"/>
          <w:color w:val="000000"/>
          <w:spacing w:val="0"/>
          <w:position w:val="0"/>
          <w:sz w:val="30"/>
          <w:shd w:fill="auto" w:val="clear"/>
        </w:rPr>
      </w:pPr>
      <w:r>
        <w:rPr>
          <w:rFonts w:ascii="Garamond" w:hAnsi="Garamond" w:cs="Garamond" w:eastAsia="Garamond"/>
          <w:color w:val="000000"/>
          <w:spacing w:val="0"/>
          <w:position w:val="0"/>
          <w:sz w:val="30"/>
          <w:shd w:fill="auto" w:val="clear"/>
        </w:rPr>
        <w:t xml:space="preserve">Vista l’ordinanza cautelare di questa Sezione n.4241/12 del 23.11.2012;</w:t>
      </w:r>
    </w:p>
    <w:p>
      <w:pPr>
        <w:spacing w:before="0" w:after="0" w:line="520"/>
        <w:ind w:right="0" w:left="0" w:firstLine="0"/>
        <w:jc w:val="both"/>
        <w:rPr>
          <w:rFonts w:ascii="Garamond" w:hAnsi="Garamond" w:cs="Garamond" w:eastAsia="Garamond"/>
          <w:color w:val="000000"/>
          <w:spacing w:val="0"/>
          <w:position w:val="0"/>
          <w:sz w:val="30"/>
          <w:shd w:fill="auto" w:val="clear"/>
        </w:rPr>
      </w:pPr>
      <w:r>
        <w:rPr>
          <w:rFonts w:ascii="Garamond" w:hAnsi="Garamond" w:cs="Garamond" w:eastAsia="Garamond"/>
          <w:color w:val="000000"/>
          <w:spacing w:val="0"/>
          <w:position w:val="0"/>
          <w:sz w:val="30"/>
          <w:shd w:fill="auto" w:val="clear"/>
        </w:rPr>
        <w:t xml:space="preserve">Visti tutti gli atti della causa;</w:t>
      </w:r>
    </w:p>
    <w:p>
      <w:pPr>
        <w:spacing w:before="0" w:after="0" w:line="520"/>
        <w:ind w:right="0" w:left="0" w:firstLine="0"/>
        <w:jc w:val="both"/>
        <w:rPr>
          <w:rFonts w:ascii="Garamond" w:hAnsi="Garamond" w:cs="Garamond" w:eastAsia="Garamond"/>
          <w:color w:val="000000"/>
          <w:spacing w:val="0"/>
          <w:position w:val="0"/>
          <w:sz w:val="30"/>
          <w:shd w:fill="auto" w:val="clear"/>
        </w:rPr>
      </w:pPr>
      <w:r>
        <w:rPr>
          <w:rFonts w:ascii="Garamond" w:hAnsi="Garamond" w:cs="Garamond" w:eastAsia="Garamond"/>
          <w:color w:val="000000"/>
          <w:spacing w:val="0"/>
          <w:position w:val="0"/>
          <w:sz w:val="30"/>
          <w:shd w:fill="auto" w:val="clear"/>
        </w:rPr>
        <w:t xml:space="preserve">Relatore nell'udienza pubblica del 6 novembre 2013 il dott. Ivo Correale e uditi per le parti i difensori come specificato nel verbale;</w:t>
      </w:r>
    </w:p>
    <w:p>
      <w:pPr>
        <w:spacing w:before="0" w:after="0" w:line="520"/>
        <w:ind w:right="0" w:left="0" w:firstLine="0"/>
        <w:jc w:val="both"/>
        <w:rPr>
          <w:rFonts w:ascii="Garamond" w:hAnsi="Garamond" w:cs="Garamond" w:eastAsia="Garamond"/>
          <w:color w:val="000000"/>
          <w:spacing w:val="0"/>
          <w:position w:val="0"/>
          <w:sz w:val="30"/>
          <w:shd w:fill="auto" w:val="clear"/>
        </w:rPr>
      </w:pPr>
      <w:r>
        <w:rPr>
          <w:rFonts w:ascii="Garamond" w:hAnsi="Garamond" w:cs="Garamond" w:eastAsia="Garamond"/>
          <w:color w:val="000000"/>
          <w:spacing w:val="0"/>
          <w:position w:val="0"/>
          <w:sz w:val="30"/>
          <w:shd w:fill="auto" w:val="clear"/>
        </w:rPr>
        <w:t xml:space="preserve">Ritenuto e considerato in fatto e diritto quanto segue.</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7"/>
          <w:shd w:fill="auto" w:val="clear"/>
        </w:rPr>
        <w:br/>
      </w:r>
    </w:p>
    <w:p>
      <w:pPr>
        <w:spacing w:before="0" w:after="0" w:line="540"/>
        <w:ind w:right="0" w:left="0" w:firstLine="0"/>
        <w:jc w:val="center"/>
        <w:rPr>
          <w:rFonts w:ascii="Garamond" w:hAnsi="Garamond" w:cs="Garamond" w:eastAsia="Garamond"/>
          <w:color w:val="000000"/>
          <w:spacing w:val="0"/>
          <w:position w:val="0"/>
          <w:sz w:val="30"/>
          <w:shd w:fill="auto" w:val="clear"/>
        </w:rPr>
      </w:pPr>
      <w:r>
        <w:rPr>
          <w:rFonts w:ascii="Garamond" w:hAnsi="Garamond" w:cs="Garamond" w:eastAsia="Garamond"/>
          <w:color w:val="000000"/>
          <w:spacing w:val="0"/>
          <w:position w:val="0"/>
          <w:sz w:val="30"/>
          <w:shd w:fill="auto" w:val="clear"/>
        </w:rPr>
        <w:t xml:space="preserve">FATTO</w:t>
      </w:r>
    </w:p>
    <w:p>
      <w:pPr>
        <w:spacing w:before="0" w:after="0" w:line="520"/>
        <w:ind w:right="0" w:left="0" w:firstLine="0"/>
        <w:jc w:val="both"/>
        <w:rPr>
          <w:rFonts w:ascii="Garamond" w:hAnsi="Garamond" w:cs="Garamond" w:eastAsia="Garamond"/>
          <w:color w:val="000000"/>
          <w:spacing w:val="0"/>
          <w:position w:val="0"/>
          <w:sz w:val="30"/>
          <w:shd w:fill="auto" w:val="clear"/>
        </w:rPr>
      </w:pPr>
      <w:r>
        <w:rPr>
          <w:rFonts w:ascii="Garamond" w:hAnsi="Garamond" w:cs="Garamond" w:eastAsia="Garamond"/>
          <w:color w:val="000000"/>
          <w:spacing w:val="0"/>
          <w:position w:val="0"/>
          <w:sz w:val="30"/>
          <w:shd w:fill="auto" w:val="clear"/>
        </w:rPr>
        <w:t xml:space="preserve">Con ricorso a questo Tribunale, notificato il 31 ottobre 2012 e depositato il successivo 2 novembre, la sig.ra Michela Massimi chiedeva l’annullamento, previe misure cautelari, dei provvedimenti indicati in epigrafe in base ai quali era fondata la sua non ammissione al corso di laurea in Scienze dell’Architettura attivato presso la Facoltà di Architettura dell’Università degli Studi di Roma La Sapienza.</w:t>
      </w:r>
    </w:p>
    <w:p>
      <w:pPr>
        <w:spacing w:before="0" w:after="0" w:line="520"/>
        <w:ind w:right="0" w:left="0" w:firstLine="0"/>
        <w:jc w:val="both"/>
        <w:rPr>
          <w:rFonts w:ascii="Garamond" w:hAnsi="Garamond" w:cs="Garamond" w:eastAsia="Garamond"/>
          <w:color w:val="000000"/>
          <w:spacing w:val="0"/>
          <w:position w:val="0"/>
          <w:sz w:val="30"/>
          <w:shd w:fill="auto" w:val="clear"/>
        </w:rPr>
      </w:pPr>
      <w:r>
        <w:rPr>
          <w:rFonts w:ascii="Garamond" w:hAnsi="Garamond" w:cs="Garamond" w:eastAsia="Garamond"/>
          <w:color w:val="000000"/>
          <w:spacing w:val="0"/>
          <w:position w:val="0"/>
          <w:sz w:val="30"/>
          <w:shd w:fill="auto" w:val="clear"/>
        </w:rPr>
        <w:t xml:space="preserve">La ricorrente, evidenziando di avere partecipato alla relativa selezione di ammissione, di avere conseguito un punteggio di p.19,00 su una soglia minima di 20,00 (con collocazione al 178 posto della graduatoria, a 14 posti dall’ultimo ammesso), che vi era stata una domanda annullata sulle 80 totali, cui la ricorrente aveva risposto in maniera corretta, e che l’individuazione di una soglia minima di punteggio aveva causato la scopertura di molti posti, dato che sussisteva la vacanza di 45 posti all’esito della selezione (conseguenti a 180 posti banditi, 164 candidati ammessi, 32 rinuncianti e 132 immatricolati), lamentava in sintesi quanto segue.</w:t>
      </w:r>
    </w:p>
    <w:p>
      <w:pPr>
        <w:spacing w:before="0" w:after="0" w:line="520"/>
        <w:ind w:right="0" w:left="0" w:firstLine="0"/>
        <w:jc w:val="both"/>
        <w:rPr>
          <w:rFonts w:ascii="Garamond" w:hAnsi="Garamond" w:cs="Garamond" w:eastAsia="Garamond"/>
          <w:color w:val="000000"/>
          <w:spacing w:val="0"/>
          <w:position w:val="0"/>
          <w:sz w:val="30"/>
          <w:shd w:fill="auto" w:val="clear"/>
        </w:rPr>
      </w:pPr>
      <w:r>
        <w:rPr>
          <w:rFonts w:ascii="Garamond" w:hAnsi="Garamond" w:cs="Garamond" w:eastAsia="Garamond"/>
          <w:color w:val="000000"/>
          <w:spacing w:val="0"/>
          <w:position w:val="0"/>
          <w:sz w:val="30"/>
          <w:shd w:fill="auto" w:val="clear"/>
        </w:rPr>
        <w:t xml:space="preserve">“</w:t>
      </w:r>
      <w:r>
        <w:rPr>
          <w:rFonts w:ascii="Garamond" w:hAnsi="Garamond" w:cs="Garamond" w:eastAsia="Garamond"/>
          <w:i/>
          <w:color w:val="000000"/>
          <w:spacing w:val="0"/>
          <w:position w:val="0"/>
          <w:sz w:val="30"/>
          <w:shd w:fill="auto" w:val="clear"/>
        </w:rPr>
        <w:t xml:space="preserve">I. Violazione del principio di legalità; violazione e/o falsa applicazione dell’art. 1, co 1 e dell’art. 4 della legge n. 264/1999 e dell’art. 33 Cost. Esorbitanza normativa. Ingiustizia manifesta e contraddittorietà”</w:t>
      </w:r>
    </w:p>
    <w:p>
      <w:pPr>
        <w:spacing w:before="0" w:after="0" w:line="520"/>
        <w:ind w:right="0" w:left="0" w:firstLine="0"/>
        <w:jc w:val="both"/>
        <w:rPr>
          <w:rFonts w:ascii="Garamond" w:hAnsi="Garamond" w:cs="Garamond" w:eastAsia="Garamond"/>
          <w:color w:val="000000"/>
          <w:spacing w:val="0"/>
          <w:position w:val="0"/>
          <w:sz w:val="30"/>
          <w:shd w:fill="auto" w:val="clear"/>
        </w:rPr>
      </w:pPr>
      <w:r>
        <w:rPr>
          <w:rFonts w:ascii="Garamond" w:hAnsi="Garamond" w:cs="Garamond" w:eastAsia="Garamond"/>
          <w:color w:val="000000"/>
          <w:spacing w:val="0"/>
          <w:position w:val="0"/>
          <w:sz w:val="30"/>
          <w:shd w:fill="auto" w:val="clear"/>
        </w:rPr>
        <w:t xml:space="preserve">La soglia minima di punteggio per l’ammissione a corso di laurea era stata già oggetto di pronunce giurisdizionali che ne rilevavano l’illegittimità soprattutto in presenza di disponibilità di posti.</w:t>
      </w:r>
    </w:p>
    <w:p>
      <w:pPr>
        <w:spacing w:before="0" w:after="0" w:line="520"/>
        <w:ind w:right="0" w:left="0" w:firstLine="0"/>
        <w:jc w:val="both"/>
        <w:rPr>
          <w:rFonts w:ascii="Garamond" w:hAnsi="Garamond" w:cs="Garamond" w:eastAsia="Garamond"/>
          <w:color w:val="000000"/>
          <w:spacing w:val="0"/>
          <w:position w:val="0"/>
          <w:sz w:val="30"/>
          <w:shd w:fill="auto" w:val="clear"/>
        </w:rPr>
      </w:pPr>
      <w:r>
        <w:rPr>
          <w:rFonts w:ascii="Garamond" w:hAnsi="Garamond" w:cs="Garamond" w:eastAsia="Garamond"/>
          <w:color w:val="000000"/>
          <w:spacing w:val="0"/>
          <w:position w:val="0"/>
          <w:sz w:val="30"/>
          <w:shd w:fill="auto" w:val="clear"/>
        </w:rPr>
        <w:t xml:space="preserve">Il Ministero competente poteva soltanto definire la programmazione e i contenuti delle prove di ammissione ma non inserire soglie di sbarramento che si riflettevano sui principi generali di cui agli artt. 33 e 34 Cost. e sull’effettiva garanzia di assecondare il fabbisogno rilevato a livello nazionale, prevedendo la l.n. 264/99 un contingentamento dei posti riferito solamente alle strutture disponibili e in relazione al fabbisogno rilevato ma non al punteggio di selezione.</w:t>
      </w:r>
    </w:p>
    <w:p>
      <w:pPr>
        <w:spacing w:before="0" w:after="0" w:line="520"/>
        <w:ind w:right="0" w:left="0" w:firstLine="0"/>
        <w:jc w:val="both"/>
        <w:rPr>
          <w:rFonts w:ascii="Garamond" w:hAnsi="Garamond" w:cs="Garamond" w:eastAsia="Garamond"/>
          <w:color w:val="000000"/>
          <w:spacing w:val="0"/>
          <w:position w:val="0"/>
          <w:sz w:val="30"/>
          <w:shd w:fill="auto" w:val="clear"/>
        </w:rPr>
      </w:pPr>
      <w:r>
        <w:rPr>
          <w:rFonts w:ascii="Garamond" w:hAnsi="Garamond" w:cs="Garamond" w:eastAsia="Garamond"/>
          <w:color w:val="000000"/>
          <w:spacing w:val="0"/>
          <w:position w:val="0"/>
          <w:sz w:val="30"/>
          <w:shd w:fill="auto" w:val="clear"/>
        </w:rPr>
        <w:t xml:space="preserve">“</w:t>
      </w:r>
      <w:r>
        <w:rPr>
          <w:rFonts w:ascii="Garamond" w:hAnsi="Garamond" w:cs="Garamond" w:eastAsia="Garamond"/>
          <w:i/>
          <w:color w:val="000000"/>
          <w:spacing w:val="0"/>
          <w:position w:val="0"/>
          <w:sz w:val="30"/>
          <w:shd w:fill="auto" w:val="clear"/>
        </w:rPr>
        <w:t xml:space="preserve">II. Violazione e falsa applicazione della legge 264 del 1999 e dei suoi principi informatori. Violazione del concetto di programmazione e della ratio della legge 264. Contraddittorietà. Violazione dell’art. 2, 3, 33 e 34 Cost. e nel caso di legittimità del decreto impugnato eccezione di costituzionalità”</w:t>
      </w:r>
      <w:r>
        <w:rPr>
          <w:rFonts w:ascii="Garamond" w:hAnsi="Garamond" w:cs="Garamond" w:eastAsia="Garamond"/>
          <w:color w:val="000000"/>
          <w:spacing w:val="0"/>
          <w:position w:val="0"/>
          <w:sz w:val="30"/>
          <w:shd w:fill="auto" w:val="clear"/>
        </w:rPr>
        <w:t xml:space="preserve">.</w:t>
      </w:r>
    </w:p>
    <w:p>
      <w:pPr>
        <w:spacing w:before="0" w:after="0" w:line="520"/>
        <w:ind w:right="0" w:left="0" w:firstLine="0"/>
        <w:jc w:val="both"/>
        <w:rPr>
          <w:rFonts w:ascii="Garamond" w:hAnsi="Garamond" w:cs="Garamond" w:eastAsia="Garamond"/>
          <w:color w:val="000000"/>
          <w:spacing w:val="0"/>
          <w:position w:val="0"/>
          <w:sz w:val="30"/>
          <w:shd w:fill="auto" w:val="clear"/>
        </w:rPr>
      </w:pPr>
      <w:r>
        <w:rPr>
          <w:rFonts w:ascii="Garamond" w:hAnsi="Garamond" w:cs="Garamond" w:eastAsia="Garamond"/>
          <w:color w:val="000000"/>
          <w:spacing w:val="0"/>
          <w:position w:val="0"/>
          <w:sz w:val="30"/>
          <w:shd w:fill="auto" w:val="clear"/>
        </w:rPr>
        <w:t xml:space="preserve">Il concetto di “programmazione” di cui alla l.n. 264/99 prevedeva una attenta istruttoria su diversi parametri, tra cui non era prevista una soglia minima di sbarramento, sussistendo in subordine la violazione dei principi costituzionali di cui alle norme indicate in rubrica.</w:t>
      </w:r>
    </w:p>
    <w:p>
      <w:pPr>
        <w:spacing w:before="0" w:after="0" w:line="520"/>
        <w:ind w:right="0" w:left="0" w:firstLine="0"/>
        <w:jc w:val="both"/>
        <w:rPr>
          <w:rFonts w:ascii="Garamond" w:hAnsi="Garamond" w:cs="Garamond" w:eastAsia="Garamond"/>
          <w:color w:val="000000"/>
          <w:spacing w:val="0"/>
          <w:position w:val="0"/>
          <w:sz w:val="30"/>
          <w:shd w:fill="auto" w:val="clear"/>
        </w:rPr>
      </w:pPr>
      <w:r>
        <w:rPr>
          <w:rFonts w:ascii="Garamond" w:hAnsi="Garamond" w:cs="Garamond" w:eastAsia="Garamond"/>
          <w:color w:val="000000"/>
          <w:spacing w:val="0"/>
          <w:position w:val="0"/>
          <w:sz w:val="30"/>
          <w:shd w:fill="auto" w:val="clear"/>
        </w:rPr>
        <w:t xml:space="preserve">“</w:t>
      </w:r>
      <w:r>
        <w:rPr>
          <w:rFonts w:ascii="Garamond" w:hAnsi="Garamond" w:cs="Garamond" w:eastAsia="Garamond"/>
          <w:i/>
          <w:color w:val="000000"/>
          <w:spacing w:val="0"/>
          <w:position w:val="0"/>
          <w:sz w:val="30"/>
          <w:shd w:fill="auto" w:val="clear"/>
        </w:rPr>
        <w:t xml:space="preserve">III. Eccesso di potere per sviamento, incoerenza e violazione dei D.M. 249/2010. Violazione del principio di proporzionalità e ragionevolezza di cui all’art. 97 Cost. Disparità di trattamento”</w:t>
      </w:r>
      <w:r>
        <w:rPr>
          <w:rFonts w:ascii="Garamond" w:hAnsi="Garamond" w:cs="Garamond" w:eastAsia="Garamond"/>
          <w:color w:val="000000"/>
          <w:spacing w:val="0"/>
          <w:position w:val="0"/>
          <w:sz w:val="30"/>
          <w:shd w:fill="auto" w:val="clear"/>
        </w:rPr>
        <w:t xml:space="preserve">.</w:t>
      </w:r>
    </w:p>
    <w:p>
      <w:pPr>
        <w:spacing w:before="0" w:after="0" w:line="520"/>
        <w:ind w:right="0" w:left="0" w:firstLine="0"/>
        <w:jc w:val="both"/>
        <w:rPr>
          <w:rFonts w:ascii="Garamond" w:hAnsi="Garamond" w:cs="Garamond" w:eastAsia="Garamond"/>
          <w:color w:val="000000"/>
          <w:spacing w:val="0"/>
          <w:position w:val="0"/>
          <w:sz w:val="30"/>
          <w:shd w:fill="auto" w:val="clear"/>
        </w:rPr>
      </w:pPr>
      <w:r>
        <w:rPr>
          <w:rFonts w:ascii="Garamond" w:hAnsi="Garamond" w:cs="Garamond" w:eastAsia="Garamond"/>
          <w:color w:val="000000"/>
          <w:spacing w:val="0"/>
          <w:position w:val="0"/>
          <w:sz w:val="30"/>
          <w:shd w:fill="auto" w:val="clear"/>
        </w:rPr>
        <w:t xml:space="preserve">Il limite di 20 punti individuato come soglia minima era illogico e sproporzionato in relazione al punteggio massimo astrattamente ottenibile, tanto che, dei 132 candidati ammessi, solo 8 avevano superato i 40 punti e “doppiato” la soglia minima, collocandosi gli altri ben al di sotto per la maggior parte.</w:t>
      </w:r>
    </w:p>
    <w:p>
      <w:pPr>
        <w:spacing w:before="0" w:after="0" w:line="520"/>
        <w:ind w:right="0" w:left="0" w:firstLine="0"/>
        <w:jc w:val="both"/>
        <w:rPr>
          <w:rFonts w:ascii="Garamond" w:hAnsi="Garamond" w:cs="Garamond" w:eastAsia="Garamond"/>
          <w:color w:val="000000"/>
          <w:spacing w:val="0"/>
          <w:position w:val="0"/>
          <w:sz w:val="30"/>
          <w:shd w:fill="auto" w:val="clear"/>
        </w:rPr>
      </w:pPr>
      <w:r>
        <w:rPr>
          <w:rFonts w:ascii="Garamond" w:hAnsi="Garamond" w:cs="Garamond" w:eastAsia="Garamond"/>
          <w:color w:val="000000"/>
          <w:spacing w:val="0"/>
          <w:position w:val="0"/>
          <w:sz w:val="30"/>
          <w:shd w:fill="auto" w:val="clear"/>
        </w:rPr>
        <w:t xml:space="preserve">“</w:t>
      </w:r>
      <w:r>
        <w:rPr>
          <w:rFonts w:ascii="Garamond" w:hAnsi="Garamond" w:cs="Garamond" w:eastAsia="Garamond"/>
          <w:i/>
          <w:color w:val="000000"/>
          <w:spacing w:val="0"/>
          <w:position w:val="0"/>
          <w:sz w:val="30"/>
          <w:shd w:fill="auto" w:val="clear"/>
        </w:rPr>
        <w:t xml:space="preserve">IV. Violazione degli artt. 34 e 97 della Costituzione, dell’art. 4 Cost. e della legge 2 agosto 1999 n. 264. Eccesso di potere per irragionevolezza, difetto di motivazione e contraddittorietà tra provvedimenti provenienti dallo stesso Ateneo”</w:t>
      </w:r>
      <w:r>
        <w:rPr>
          <w:rFonts w:ascii="Garamond" w:hAnsi="Garamond" w:cs="Garamond" w:eastAsia="Garamond"/>
          <w:color w:val="000000"/>
          <w:spacing w:val="0"/>
          <w:position w:val="0"/>
          <w:sz w:val="30"/>
          <w:shd w:fill="auto" w:val="clear"/>
        </w:rPr>
        <w:t xml:space="preserve">.</w:t>
      </w:r>
    </w:p>
    <w:p>
      <w:pPr>
        <w:spacing w:before="0" w:after="0" w:line="520"/>
        <w:ind w:right="0" w:left="0" w:firstLine="0"/>
        <w:jc w:val="both"/>
        <w:rPr>
          <w:rFonts w:ascii="Garamond" w:hAnsi="Garamond" w:cs="Garamond" w:eastAsia="Garamond"/>
          <w:color w:val="000000"/>
          <w:spacing w:val="0"/>
          <w:position w:val="0"/>
          <w:sz w:val="30"/>
          <w:shd w:fill="auto" w:val="clear"/>
        </w:rPr>
      </w:pPr>
      <w:r>
        <w:rPr>
          <w:rFonts w:ascii="Garamond" w:hAnsi="Garamond" w:cs="Garamond" w:eastAsia="Garamond"/>
          <w:color w:val="000000"/>
          <w:spacing w:val="0"/>
          <w:position w:val="0"/>
          <w:sz w:val="30"/>
          <w:shd w:fill="auto" w:val="clear"/>
        </w:rPr>
        <w:t xml:space="preserve">L’introduzione della soglia minima di punteggio – immotivatamente fissata proprio a 20 punti su 80 - aveva vanificato l’attenta istruttoria compiuta sul fabbisogno programmato al fine di garantire standards minimi su tutto il territorio nazionale e il mancato scorrimento integrale della graduatoria, anche oltre soglia minima, aveva compromesso l’esigenza di dare piena attuazione alle risorse programmate disponibili.</w:t>
      </w:r>
    </w:p>
    <w:p>
      <w:pPr>
        <w:spacing w:before="0" w:after="0" w:line="520"/>
        <w:ind w:right="0" w:left="0" w:firstLine="0"/>
        <w:jc w:val="both"/>
        <w:rPr>
          <w:rFonts w:ascii="Garamond" w:hAnsi="Garamond" w:cs="Garamond" w:eastAsia="Garamond"/>
          <w:color w:val="000000"/>
          <w:spacing w:val="0"/>
          <w:position w:val="0"/>
          <w:sz w:val="30"/>
          <w:shd w:fill="auto" w:val="clear"/>
        </w:rPr>
      </w:pPr>
      <w:r>
        <w:rPr>
          <w:rFonts w:ascii="Garamond" w:hAnsi="Garamond" w:cs="Garamond" w:eastAsia="Garamond"/>
          <w:color w:val="000000"/>
          <w:spacing w:val="0"/>
          <w:position w:val="0"/>
          <w:sz w:val="30"/>
          <w:shd w:fill="auto" w:val="clear"/>
        </w:rPr>
        <w:t xml:space="preserve">In subordine, la ricorrente deduceva ulteriori censure.</w:t>
      </w:r>
    </w:p>
    <w:p>
      <w:pPr>
        <w:spacing w:before="0" w:after="0" w:line="520"/>
        <w:ind w:right="0" w:left="0" w:firstLine="0"/>
        <w:jc w:val="both"/>
        <w:rPr>
          <w:rFonts w:ascii="Garamond" w:hAnsi="Garamond" w:cs="Garamond" w:eastAsia="Garamond"/>
          <w:color w:val="000000"/>
          <w:spacing w:val="0"/>
          <w:position w:val="0"/>
          <w:sz w:val="30"/>
          <w:shd w:fill="auto" w:val="clear"/>
        </w:rPr>
      </w:pPr>
      <w:r>
        <w:rPr>
          <w:rFonts w:ascii="Garamond" w:hAnsi="Garamond" w:cs="Garamond" w:eastAsia="Garamond"/>
          <w:color w:val="000000"/>
          <w:spacing w:val="0"/>
          <w:position w:val="0"/>
          <w:sz w:val="30"/>
          <w:shd w:fill="auto" w:val="clear"/>
        </w:rPr>
        <w:t xml:space="preserve">“</w:t>
      </w:r>
      <w:r>
        <w:rPr>
          <w:rFonts w:ascii="Garamond" w:hAnsi="Garamond" w:cs="Garamond" w:eastAsia="Garamond"/>
          <w:i/>
          <w:color w:val="000000"/>
          <w:spacing w:val="0"/>
          <w:position w:val="0"/>
          <w:sz w:val="30"/>
          <w:shd w:fill="auto" w:val="clear"/>
        </w:rPr>
        <w:t xml:space="preserve">V. Violazione e falsa applicazione dei principi generali in tema di pubblici concorsi e del principio di affidamento. Violazione e falsa applicazione dello stesso d.m. 28.06.2012”</w:t>
      </w:r>
      <w:r>
        <w:rPr>
          <w:rFonts w:ascii="Garamond" w:hAnsi="Garamond" w:cs="Garamond" w:eastAsia="Garamond"/>
          <w:color w:val="000000"/>
          <w:spacing w:val="0"/>
          <w:position w:val="0"/>
          <w:sz w:val="30"/>
          <w:shd w:fill="auto" w:val="clear"/>
        </w:rPr>
        <w:t xml:space="preserve">.</w:t>
      </w:r>
    </w:p>
    <w:p>
      <w:pPr>
        <w:spacing w:before="0" w:after="0" w:line="520"/>
        <w:ind w:right="0" w:left="0" w:firstLine="0"/>
        <w:jc w:val="both"/>
        <w:rPr>
          <w:rFonts w:ascii="Garamond" w:hAnsi="Garamond" w:cs="Garamond" w:eastAsia="Garamond"/>
          <w:color w:val="000000"/>
          <w:spacing w:val="0"/>
          <w:position w:val="0"/>
          <w:sz w:val="30"/>
          <w:shd w:fill="auto" w:val="clear"/>
        </w:rPr>
      </w:pPr>
      <w:r>
        <w:rPr>
          <w:rFonts w:ascii="Garamond" w:hAnsi="Garamond" w:cs="Garamond" w:eastAsia="Garamond"/>
          <w:color w:val="000000"/>
          <w:spacing w:val="0"/>
          <w:position w:val="0"/>
          <w:sz w:val="30"/>
          <w:shd w:fill="auto" w:val="clear"/>
        </w:rPr>
        <w:t xml:space="preserve">Nel corso della procedura era emersa l’erroneità di una domanda che, seppur annullata per tutti i partecipanti, aveva reso ancor più illogica la fissazione della soglia minima a 20 punti in relazione alle risposte esatte che su tale domanda erano state offerte, come avvenuto per la ricorrente, parificando così chi aveva speso tempo nel rispondere a tale domanda, chi non l’aveva esaminata e chi l’aveva errata.</w:t>
      </w:r>
    </w:p>
    <w:p>
      <w:pPr>
        <w:spacing w:before="0" w:after="0" w:line="520"/>
        <w:ind w:right="0" w:left="0" w:firstLine="0"/>
        <w:jc w:val="both"/>
        <w:rPr>
          <w:rFonts w:ascii="Garamond" w:hAnsi="Garamond" w:cs="Garamond" w:eastAsia="Garamond"/>
          <w:color w:val="000000"/>
          <w:spacing w:val="0"/>
          <w:position w:val="0"/>
          <w:sz w:val="30"/>
          <w:shd w:fill="auto" w:val="clear"/>
        </w:rPr>
      </w:pPr>
      <w:r>
        <w:rPr>
          <w:rFonts w:ascii="Garamond" w:hAnsi="Garamond" w:cs="Garamond" w:eastAsia="Garamond"/>
          <w:color w:val="000000"/>
          <w:spacing w:val="0"/>
          <w:position w:val="0"/>
          <w:sz w:val="30"/>
          <w:shd w:fill="auto" w:val="clear"/>
        </w:rPr>
        <w:t xml:space="preserve">“</w:t>
      </w:r>
      <w:r>
        <w:rPr>
          <w:rFonts w:ascii="Garamond" w:hAnsi="Garamond" w:cs="Garamond" w:eastAsia="Garamond"/>
          <w:i/>
          <w:color w:val="000000"/>
          <w:spacing w:val="0"/>
          <w:position w:val="0"/>
          <w:sz w:val="30"/>
          <w:shd w:fill="auto" w:val="clear"/>
        </w:rPr>
        <w:t xml:space="preserve">VI. Incompetenza, violazione della gerarchia delle fonti, esorbitanza normativa e ancora sulla violazione della normativa ministeriale”</w:t>
      </w:r>
    </w:p>
    <w:p>
      <w:pPr>
        <w:spacing w:before="0" w:after="0" w:line="520"/>
        <w:ind w:right="0" w:left="0" w:firstLine="0"/>
        <w:jc w:val="both"/>
        <w:rPr>
          <w:rFonts w:ascii="Garamond" w:hAnsi="Garamond" w:cs="Garamond" w:eastAsia="Garamond"/>
          <w:color w:val="000000"/>
          <w:spacing w:val="0"/>
          <w:position w:val="0"/>
          <w:sz w:val="30"/>
          <w:shd w:fill="auto" w:val="clear"/>
        </w:rPr>
      </w:pPr>
      <w:r>
        <w:rPr>
          <w:rFonts w:ascii="Garamond" w:hAnsi="Garamond" w:cs="Garamond" w:eastAsia="Garamond"/>
          <w:color w:val="000000"/>
          <w:spacing w:val="0"/>
          <w:position w:val="0"/>
          <w:sz w:val="30"/>
          <w:shd w:fill="auto" w:val="clear"/>
        </w:rPr>
        <w:t xml:space="preserve">Non era stato chiarito l’”iter” formale seguito dalla Commissione per pervenire all’annullamento della domanda n. 79 e comunque la Commissione, per le sue competenze, non poteva influire sul contenuto del decreto ministeriale che aveva fissato a 80 il numero di domande cui i candidati erano chiamati a rispondere.</w:t>
      </w:r>
    </w:p>
    <w:p>
      <w:pPr>
        <w:spacing w:before="0" w:after="0" w:line="520"/>
        <w:ind w:right="0" w:left="0" w:firstLine="0"/>
        <w:jc w:val="both"/>
        <w:rPr>
          <w:rFonts w:ascii="Garamond" w:hAnsi="Garamond" w:cs="Garamond" w:eastAsia="Garamond"/>
          <w:color w:val="000000"/>
          <w:spacing w:val="0"/>
          <w:position w:val="0"/>
          <w:sz w:val="30"/>
          <w:shd w:fill="auto" w:val="clear"/>
        </w:rPr>
      </w:pPr>
      <w:r>
        <w:rPr>
          <w:rFonts w:ascii="Garamond" w:hAnsi="Garamond" w:cs="Garamond" w:eastAsia="Garamond"/>
          <w:color w:val="000000"/>
          <w:spacing w:val="0"/>
          <w:position w:val="0"/>
          <w:sz w:val="30"/>
          <w:shd w:fill="auto" w:val="clear"/>
        </w:rPr>
        <w:t xml:space="preserve">“</w:t>
      </w:r>
      <w:r>
        <w:rPr>
          <w:rFonts w:ascii="Garamond" w:hAnsi="Garamond" w:cs="Garamond" w:eastAsia="Garamond"/>
          <w:i/>
          <w:color w:val="000000"/>
          <w:spacing w:val="0"/>
          <w:position w:val="0"/>
          <w:sz w:val="30"/>
          <w:shd w:fill="auto" w:val="clear"/>
        </w:rPr>
        <w:t xml:space="preserve">VII. Violazione degli artt. 2, 4, 33, 34 e 97 della Costituzione e della legge 2 agosto 1999 n. 264. Eccesso di potere per irragionevolezza. Difetto di motivazione e contraddittorietà”.</w:t>
      </w:r>
    </w:p>
    <w:p>
      <w:pPr>
        <w:spacing w:before="0" w:after="0" w:line="520"/>
        <w:ind w:right="0" w:left="0" w:firstLine="0"/>
        <w:jc w:val="both"/>
        <w:rPr>
          <w:rFonts w:ascii="Garamond" w:hAnsi="Garamond" w:cs="Garamond" w:eastAsia="Garamond"/>
          <w:color w:val="000000"/>
          <w:spacing w:val="0"/>
          <w:position w:val="0"/>
          <w:sz w:val="30"/>
          <w:shd w:fill="auto" w:val="clear"/>
        </w:rPr>
      </w:pPr>
      <w:r>
        <w:rPr>
          <w:rFonts w:ascii="Garamond" w:hAnsi="Garamond" w:cs="Garamond" w:eastAsia="Garamond"/>
          <w:color w:val="000000"/>
          <w:spacing w:val="0"/>
          <w:position w:val="0"/>
          <w:sz w:val="30"/>
          <w:shd w:fill="auto" w:val="clear"/>
        </w:rPr>
        <w:t xml:space="preserve">I posti resisi liberi per vari motivi dovevano comunque essere ridistribuiti, anche al fine di rispettare la programmazione originariamente predisposta dall’Amministrazione.</w:t>
      </w:r>
    </w:p>
    <w:p>
      <w:pPr>
        <w:spacing w:before="0" w:after="0" w:line="520"/>
        <w:ind w:right="0" w:left="0" w:firstLine="0"/>
        <w:jc w:val="both"/>
        <w:rPr>
          <w:rFonts w:ascii="Garamond" w:hAnsi="Garamond" w:cs="Garamond" w:eastAsia="Garamond"/>
          <w:color w:val="000000"/>
          <w:spacing w:val="0"/>
          <w:position w:val="0"/>
          <w:sz w:val="30"/>
          <w:shd w:fill="auto" w:val="clear"/>
        </w:rPr>
      </w:pPr>
      <w:r>
        <w:rPr>
          <w:rFonts w:ascii="Garamond" w:hAnsi="Garamond" w:cs="Garamond" w:eastAsia="Garamond"/>
          <w:color w:val="000000"/>
          <w:spacing w:val="0"/>
          <w:position w:val="0"/>
          <w:sz w:val="30"/>
          <w:shd w:fill="auto" w:val="clear"/>
        </w:rPr>
        <w:t xml:space="preserve">“</w:t>
      </w:r>
      <w:r>
        <w:rPr>
          <w:rFonts w:ascii="Garamond" w:hAnsi="Garamond" w:cs="Garamond" w:eastAsia="Garamond"/>
          <w:i/>
          <w:color w:val="000000"/>
          <w:spacing w:val="0"/>
          <w:position w:val="0"/>
          <w:sz w:val="30"/>
          <w:shd w:fill="auto" w:val="clear"/>
        </w:rPr>
        <w:t xml:space="preserve">VIII. Violazione dell’art. 2, 3, 4, 33 e 34 della Costituzione e 10 e 11 Cost. Violazione delle prassi normative sino ad oggi seguite. Violazione dell’art. 3 Cost. e disparità di trattamento”</w:t>
      </w:r>
      <w:r>
        <w:rPr>
          <w:rFonts w:ascii="Garamond" w:hAnsi="Garamond" w:cs="Garamond" w:eastAsia="Garamond"/>
          <w:color w:val="000000"/>
          <w:spacing w:val="0"/>
          <w:position w:val="0"/>
          <w:sz w:val="30"/>
          <w:shd w:fill="auto" w:val="clear"/>
        </w:rPr>
        <w:t xml:space="preserve">.</w:t>
      </w:r>
    </w:p>
    <w:p>
      <w:pPr>
        <w:spacing w:before="0" w:after="0" w:line="520"/>
        <w:ind w:right="0" w:left="0" w:firstLine="0"/>
        <w:jc w:val="both"/>
        <w:rPr>
          <w:rFonts w:ascii="Garamond" w:hAnsi="Garamond" w:cs="Garamond" w:eastAsia="Garamond"/>
          <w:color w:val="000000"/>
          <w:spacing w:val="0"/>
          <w:position w:val="0"/>
          <w:sz w:val="30"/>
          <w:shd w:fill="auto" w:val="clear"/>
        </w:rPr>
      </w:pPr>
      <w:r>
        <w:rPr>
          <w:rFonts w:ascii="Garamond" w:hAnsi="Garamond" w:cs="Garamond" w:eastAsia="Garamond"/>
          <w:color w:val="000000"/>
          <w:spacing w:val="0"/>
          <w:position w:val="0"/>
          <w:sz w:val="30"/>
          <w:shd w:fill="auto" w:val="clear"/>
        </w:rPr>
        <w:t xml:space="preserve">La soglia minima di punti 20 era stata introdotta all’interno di un decreto ministeriale, quindi senza la discussione tipica in sede parlamentare propria di un testo legislativo, così da passare in silenzio dinanzi all’opinione pubblica.</w:t>
      </w:r>
    </w:p>
    <w:p>
      <w:pPr>
        <w:spacing w:before="0" w:after="0" w:line="520"/>
        <w:ind w:right="0" w:left="0" w:firstLine="0"/>
        <w:jc w:val="both"/>
        <w:rPr>
          <w:rFonts w:ascii="Garamond" w:hAnsi="Garamond" w:cs="Garamond" w:eastAsia="Garamond"/>
          <w:color w:val="000000"/>
          <w:spacing w:val="0"/>
          <w:position w:val="0"/>
          <w:sz w:val="30"/>
          <w:shd w:fill="auto" w:val="clear"/>
        </w:rPr>
      </w:pPr>
      <w:r>
        <w:rPr>
          <w:rFonts w:ascii="Garamond" w:hAnsi="Garamond" w:cs="Garamond" w:eastAsia="Garamond"/>
          <w:color w:val="000000"/>
          <w:spacing w:val="0"/>
          <w:position w:val="0"/>
          <w:sz w:val="30"/>
          <w:shd w:fill="auto" w:val="clear"/>
        </w:rPr>
        <w:t xml:space="preserve">“</w:t>
      </w:r>
      <w:r>
        <w:rPr>
          <w:rFonts w:ascii="Garamond" w:hAnsi="Garamond" w:cs="Garamond" w:eastAsia="Garamond"/>
          <w:i/>
          <w:color w:val="000000"/>
          <w:spacing w:val="0"/>
          <w:position w:val="0"/>
          <w:sz w:val="30"/>
          <w:shd w:fill="auto" w:val="clear"/>
        </w:rPr>
        <w:t xml:space="preserve">IX. Violazione dell’ordinamento comunitario ed in particolare del principio generale dell’Unione di cui all’art. 2 del Protocollo della Convenzione Europea dei Diritti dell’Uomo, nonché della Carta dei Diritti Fondamentali dell’Unione Europea con particolare riferimento all’art. 14 e al comma 1 sulla formazione continua, dell’art. 33, 34, 35 Cost., violazione e falsa applicazione del combinato disposto della legge 53 del 2003 art. 1 e ss. e dell’art. 10 della l. 300/1970. Violazione e falsa applicazione dell’art. 1, co. 1, lettera c), art. 1, 7 co. 4 del d.lgs. 165/01, nonché delle previsioni della Contrattazione Collettiva sulla Formazione”.</w:t>
      </w:r>
    </w:p>
    <w:p>
      <w:pPr>
        <w:spacing w:before="0" w:after="0" w:line="520"/>
        <w:ind w:right="0" w:left="0" w:firstLine="0"/>
        <w:jc w:val="both"/>
        <w:rPr>
          <w:rFonts w:ascii="Garamond" w:hAnsi="Garamond" w:cs="Garamond" w:eastAsia="Garamond"/>
          <w:color w:val="000000"/>
          <w:spacing w:val="0"/>
          <w:position w:val="0"/>
          <w:sz w:val="30"/>
          <w:shd w:fill="auto" w:val="clear"/>
        </w:rPr>
      </w:pPr>
      <w:r>
        <w:rPr>
          <w:rFonts w:ascii="Garamond" w:hAnsi="Garamond" w:cs="Garamond" w:eastAsia="Garamond"/>
          <w:color w:val="000000"/>
          <w:spacing w:val="0"/>
          <w:position w:val="0"/>
          <w:sz w:val="30"/>
          <w:shd w:fill="auto" w:val="clear"/>
        </w:rPr>
        <w:t xml:space="preserve">Le censure sopra illustrate trovavano fondamento anche in relazione ai principi di ordine generale richiamati in rubrica in ordine all’impossibilità del rifiuto al diritto allo studio, immediatamente applicabili nell’ordinamento nazionale italiano.</w:t>
      </w:r>
    </w:p>
    <w:p>
      <w:pPr>
        <w:spacing w:before="0" w:after="0" w:line="520"/>
        <w:ind w:right="0" w:left="0" w:firstLine="0"/>
        <w:jc w:val="both"/>
        <w:rPr>
          <w:rFonts w:ascii="Garamond" w:hAnsi="Garamond" w:cs="Garamond" w:eastAsia="Garamond"/>
          <w:color w:val="000000"/>
          <w:spacing w:val="0"/>
          <w:position w:val="0"/>
          <w:sz w:val="30"/>
          <w:shd w:fill="auto" w:val="clear"/>
        </w:rPr>
      </w:pPr>
      <w:r>
        <w:rPr>
          <w:rFonts w:ascii="Garamond" w:hAnsi="Garamond" w:cs="Garamond" w:eastAsia="Garamond"/>
          <w:color w:val="000000"/>
          <w:spacing w:val="0"/>
          <w:position w:val="0"/>
          <w:sz w:val="30"/>
          <w:shd w:fill="auto" w:val="clear"/>
        </w:rPr>
        <w:t xml:space="preserve">La ricorrente concludeva la sua esposizione chiedendo anche il risarcimento del danno conseguente ai provvedimenti impugnati.</w:t>
      </w:r>
    </w:p>
    <w:p>
      <w:pPr>
        <w:spacing w:before="0" w:after="0" w:line="520"/>
        <w:ind w:right="0" w:left="0" w:firstLine="0"/>
        <w:jc w:val="both"/>
        <w:rPr>
          <w:rFonts w:ascii="Garamond" w:hAnsi="Garamond" w:cs="Garamond" w:eastAsia="Garamond"/>
          <w:color w:val="000000"/>
          <w:spacing w:val="0"/>
          <w:position w:val="0"/>
          <w:sz w:val="30"/>
          <w:shd w:fill="auto" w:val="clear"/>
        </w:rPr>
      </w:pPr>
      <w:r>
        <w:rPr>
          <w:rFonts w:ascii="Garamond" w:hAnsi="Garamond" w:cs="Garamond" w:eastAsia="Garamond"/>
          <w:color w:val="000000"/>
          <w:spacing w:val="0"/>
          <w:position w:val="0"/>
          <w:sz w:val="30"/>
          <w:shd w:fill="auto" w:val="clear"/>
        </w:rPr>
        <w:t xml:space="preserve">Con l’ordinanza indicata in epigrafe, questa Sezione accoglieva la domanda cautelare, sospendendo il d.m. n. 196/12 nei limiti della previsione di un punteggio minimo che operasse senza considerare l’ipotesi di posti vacanti in graduatoria, disponendo che la ricorrente fosse ammessa con riserva alla partecipazione alle lezioni del corso di laurea indicato.</w:t>
      </w:r>
    </w:p>
    <w:p>
      <w:pPr>
        <w:spacing w:before="0" w:after="0" w:line="520"/>
        <w:ind w:right="0" w:left="0" w:firstLine="0"/>
        <w:jc w:val="both"/>
        <w:rPr>
          <w:rFonts w:ascii="Garamond" w:hAnsi="Garamond" w:cs="Garamond" w:eastAsia="Garamond"/>
          <w:color w:val="000000"/>
          <w:spacing w:val="0"/>
          <w:position w:val="0"/>
          <w:sz w:val="30"/>
          <w:shd w:fill="auto" w:val="clear"/>
        </w:rPr>
      </w:pPr>
      <w:r>
        <w:rPr>
          <w:rFonts w:ascii="Garamond" w:hAnsi="Garamond" w:cs="Garamond" w:eastAsia="Garamond"/>
          <w:color w:val="000000"/>
          <w:spacing w:val="0"/>
          <w:position w:val="0"/>
          <w:sz w:val="30"/>
          <w:shd w:fill="auto" w:val="clear"/>
        </w:rPr>
        <w:t xml:space="preserve">Alla pubblica udienza del 6 novembre 2013 la causa era trattenuta in decisione per il merito.</w:t>
      </w:r>
    </w:p>
    <w:p>
      <w:pPr>
        <w:spacing w:before="0" w:after="0" w:line="540"/>
        <w:ind w:right="0" w:left="0" w:firstLine="0"/>
        <w:jc w:val="center"/>
        <w:rPr>
          <w:rFonts w:ascii="Garamond" w:hAnsi="Garamond" w:cs="Garamond" w:eastAsia="Garamond"/>
          <w:color w:val="000000"/>
          <w:spacing w:val="0"/>
          <w:position w:val="0"/>
          <w:sz w:val="30"/>
          <w:shd w:fill="auto" w:val="clear"/>
        </w:rPr>
      </w:pPr>
      <w:r>
        <w:rPr>
          <w:rFonts w:ascii="Garamond" w:hAnsi="Garamond" w:cs="Garamond" w:eastAsia="Garamond"/>
          <w:color w:val="000000"/>
          <w:spacing w:val="0"/>
          <w:position w:val="0"/>
          <w:sz w:val="30"/>
          <w:shd w:fill="auto" w:val="clear"/>
        </w:rPr>
        <w:t xml:space="preserve">DIRITTO</w:t>
      </w:r>
    </w:p>
    <w:p>
      <w:pPr>
        <w:spacing w:before="0" w:after="0" w:line="520"/>
        <w:ind w:right="0" w:left="0" w:firstLine="0"/>
        <w:jc w:val="both"/>
        <w:rPr>
          <w:rFonts w:ascii="Garamond" w:hAnsi="Garamond" w:cs="Garamond" w:eastAsia="Garamond"/>
          <w:color w:val="000000"/>
          <w:spacing w:val="0"/>
          <w:position w:val="0"/>
          <w:sz w:val="30"/>
          <w:shd w:fill="auto" w:val="clear"/>
        </w:rPr>
      </w:pPr>
      <w:r>
        <w:rPr>
          <w:rFonts w:ascii="Garamond" w:hAnsi="Garamond" w:cs="Garamond" w:eastAsia="Garamond"/>
          <w:color w:val="000000"/>
          <w:spacing w:val="0"/>
          <w:position w:val="0"/>
          <w:sz w:val="30"/>
          <w:shd w:fill="auto" w:val="clear"/>
        </w:rPr>
        <w:t xml:space="preserve">Il Collegio, anche al non più sommario esame proprio della fase di merito e in assenza di allegazioni da parte dell’Amministrazione, ritiene di confermare l’orientamento espresso in cautelare favorevole all’accoglimento del gravame e che vedono la fondatezza dei primi quattro motivi di ricorso nei limiti che si vanno a precisare.</w:t>
      </w:r>
    </w:p>
    <w:p>
      <w:pPr>
        <w:spacing w:before="0" w:after="0" w:line="520"/>
        <w:ind w:right="0" w:left="0" w:firstLine="0"/>
        <w:jc w:val="both"/>
        <w:rPr>
          <w:rFonts w:ascii="Garamond" w:hAnsi="Garamond" w:cs="Garamond" w:eastAsia="Garamond"/>
          <w:color w:val="000000"/>
          <w:spacing w:val="0"/>
          <w:position w:val="0"/>
          <w:sz w:val="30"/>
          <w:shd w:fill="auto" w:val="clear"/>
        </w:rPr>
      </w:pPr>
      <w:r>
        <w:rPr>
          <w:rFonts w:ascii="Garamond" w:hAnsi="Garamond" w:cs="Garamond" w:eastAsia="Garamond"/>
          <w:color w:val="000000"/>
          <w:spacing w:val="0"/>
          <w:position w:val="0"/>
          <w:sz w:val="30"/>
          <w:shd w:fill="auto" w:val="clear"/>
        </w:rPr>
        <w:t xml:space="preserve">Nel caso di specie, infatti, deve essere valorizzato il principio di ordine generale – a vario titolo richiamato nei suddetti motivi di ricorso - secondo cui nell’ambito della programmazione di posti accessibili per la formazione universitaria, ferma la legittimità dell’introduzione, anche sotto i profili del diritto comunitario, del c.d. “numero chiuso” (Cons. Stato, Sez. VI, 11.2.11, n. 898; Sez. II, 23.11.10, n. 591; Tar Lazio, Sez. III bis, 13.9.12, n. 7779;), deve essere primariamente valorizzato il contingentamento degli accessi in relazione al “fabbisogno” individuato relativamente alle strutture disponibili, proporzionato all’offerta formativa degli Atenei e non tanto al raggiungimento di un punteggio minimo in relazione alle specifiche domande formulate nei relativi “test”.</w:t>
      </w:r>
    </w:p>
    <w:p>
      <w:pPr>
        <w:spacing w:before="0" w:after="0" w:line="520"/>
        <w:ind w:right="0" w:left="0" w:firstLine="0"/>
        <w:jc w:val="both"/>
        <w:rPr>
          <w:rFonts w:ascii="Garamond" w:hAnsi="Garamond" w:cs="Garamond" w:eastAsia="Garamond"/>
          <w:color w:val="000000"/>
          <w:spacing w:val="0"/>
          <w:position w:val="0"/>
          <w:sz w:val="30"/>
          <w:shd w:fill="auto" w:val="clear"/>
        </w:rPr>
      </w:pPr>
      <w:r>
        <w:rPr>
          <w:rFonts w:ascii="Garamond" w:hAnsi="Garamond" w:cs="Garamond" w:eastAsia="Garamond"/>
          <w:color w:val="000000"/>
          <w:spacing w:val="0"/>
          <w:position w:val="0"/>
          <w:sz w:val="30"/>
          <w:shd w:fill="auto" w:val="clear"/>
        </w:rPr>
        <w:t xml:space="preserve">Se, dunque, appare legittima la formulazione di una graduatoria da cui attingere, nei limiti di posti ritenuti disponibili di anno in anno, secondo l’ordine meritorio di risposta (e di relativa assegnazione di punteggio fino ad esaurimento dei posti disponibili, comprese rinunce e revoche dei diretti interessati), l’utilizzo integrale dei posti disponibili deve comunque essere il fine ultimo della selezione per favorire il più possibile la domanda di formazione professionale, anche in relazione agli artt. 33 e 34 Cost., e fornire alla collettività un numero di studenti adeguato alle strutture che impone la piena utilizzazione delle medesime pur conseguente ad una legittima procedura di selezione (TAR Sicilia, Pa, Sez. I, 2.2.10, n. 1295).</w:t>
      </w:r>
    </w:p>
    <w:p>
      <w:pPr>
        <w:spacing w:before="0" w:after="0" w:line="520"/>
        <w:ind w:right="0" w:left="0" w:firstLine="0"/>
        <w:jc w:val="both"/>
        <w:rPr>
          <w:rFonts w:ascii="Garamond" w:hAnsi="Garamond" w:cs="Garamond" w:eastAsia="Garamond"/>
          <w:color w:val="000000"/>
          <w:spacing w:val="0"/>
          <w:position w:val="0"/>
          <w:sz w:val="30"/>
          <w:shd w:fill="auto" w:val="clear"/>
        </w:rPr>
      </w:pPr>
      <w:r>
        <w:rPr>
          <w:rFonts w:ascii="Garamond" w:hAnsi="Garamond" w:cs="Garamond" w:eastAsia="Garamond"/>
          <w:color w:val="000000"/>
          <w:spacing w:val="0"/>
          <w:position w:val="0"/>
          <w:sz w:val="30"/>
          <w:shd w:fill="auto" w:val="clear"/>
        </w:rPr>
        <w:t xml:space="preserve">Nel caso di specie, quindi, doveva essere considerata la possibilità di mancata integrale copertura dei posti messi a selezione e di procedere allo scorrimento della graduatoria integralmente considerata.</w:t>
      </w:r>
    </w:p>
    <w:p>
      <w:pPr>
        <w:spacing w:before="0" w:after="0" w:line="520"/>
        <w:ind w:right="0" w:left="0" w:firstLine="0"/>
        <w:jc w:val="both"/>
        <w:rPr>
          <w:rFonts w:ascii="Garamond" w:hAnsi="Garamond" w:cs="Garamond" w:eastAsia="Garamond"/>
          <w:color w:val="000000"/>
          <w:spacing w:val="0"/>
          <w:position w:val="0"/>
          <w:sz w:val="30"/>
          <w:shd w:fill="auto" w:val="clear"/>
        </w:rPr>
      </w:pPr>
      <w:r>
        <w:rPr>
          <w:rFonts w:ascii="Garamond" w:hAnsi="Garamond" w:cs="Garamond" w:eastAsia="Garamond"/>
          <w:color w:val="000000"/>
          <w:spacing w:val="0"/>
          <w:position w:val="0"/>
          <w:sz w:val="30"/>
          <w:shd w:fill="auto" w:val="clear"/>
        </w:rPr>
        <w:t xml:space="preserve">A tali osservazioni di ordine generale se ne aggiungono altre più specifiche.</w:t>
      </w:r>
    </w:p>
    <w:p>
      <w:pPr>
        <w:spacing w:before="0" w:after="0" w:line="520"/>
        <w:ind w:right="0" w:left="0" w:firstLine="0"/>
        <w:jc w:val="both"/>
        <w:rPr>
          <w:rFonts w:ascii="Garamond" w:hAnsi="Garamond" w:cs="Garamond" w:eastAsia="Garamond"/>
          <w:color w:val="000000"/>
          <w:spacing w:val="0"/>
          <w:position w:val="0"/>
          <w:sz w:val="30"/>
          <w:shd w:fill="auto" w:val="clear"/>
        </w:rPr>
      </w:pPr>
      <w:r>
        <w:rPr>
          <w:rFonts w:ascii="Garamond" w:hAnsi="Garamond" w:cs="Garamond" w:eastAsia="Garamond"/>
          <w:color w:val="000000"/>
          <w:spacing w:val="0"/>
          <w:position w:val="0"/>
          <w:sz w:val="30"/>
          <w:shd w:fill="auto" w:val="clear"/>
        </w:rPr>
        <w:t xml:space="preserve">Come condivisibilmente rilevato nel terzo motivo di ricorso, è mancata nel caso di specie un’adeguata istruttoria in ordine alle modalità con cui è stata individuata proprio una soglia minima di p.20, pari ad un quarto del massimo punteggio ottenibile, laddove il numero delle domande, la loro conformazione e la circostanza per la quale solo otto candidati hanno risposto a più di quaranta domande su ottanta, hanno reso evidente la difficoltà del test di ingresso e avrebbero consigliato l’individuazione di una soglia minima diversa, non orientata ad incrementare la selezione in sé considerata ma ad escludere solo i candidati con un bagaglio culturale non idoneo nemmeno ad iniziare la fase di studio universitario.</w:t>
      </w:r>
    </w:p>
    <w:p>
      <w:pPr>
        <w:spacing w:before="0" w:after="0" w:line="520"/>
        <w:ind w:right="0" w:left="0" w:firstLine="0"/>
        <w:jc w:val="both"/>
        <w:rPr>
          <w:rFonts w:ascii="Garamond" w:hAnsi="Garamond" w:cs="Garamond" w:eastAsia="Garamond"/>
          <w:color w:val="000000"/>
          <w:spacing w:val="0"/>
          <w:position w:val="0"/>
          <w:sz w:val="30"/>
          <w:shd w:fill="auto" w:val="clear"/>
        </w:rPr>
      </w:pPr>
      <w:r>
        <w:rPr>
          <w:rFonts w:ascii="Garamond" w:hAnsi="Garamond" w:cs="Garamond" w:eastAsia="Garamond"/>
          <w:color w:val="000000"/>
          <w:spacing w:val="0"/>
          <w:position w:val="0"/>
          <w:sz w:val="30"/>
          <w:shd w:fill="auto" w:val="clear"/>
        </w:rPr>
        <w:t xml:space="preserve">In sostanza, deve richiamarsi il principio giurisprudenziale secondo il quale la piena utilizzabilità dei posti predeterminati (anche in termini di fabbisogno sociale) sia più aderente ai principi costituzionali enunciati negli articoli 33 e 34 della Costituzione e ai canoni di logicità e ragionevolezza dell'operato della pubblica amministrazione (Cons. Stato, sez. VI, 10.9.09, n. 5434) che deve privilegiare la tesi volta ad assicurare lo scorrimento della graduatoria nei posti non utilizzati, dato che la garanzia del diritto allo studio sancita dall'art. 34 Cost. si qualifica come diritto della persona e non soffre limitazioni in relazione al grado di istruzione (TAR Sicilia, Ct, Sez. I, 1.8.11, n. 2031).</w:t>
      </w:r>
    </w:p>
    <w:p>
      <w:pPr>
        <w:spacing w:before="0" w:after="0" w:line="520"/>
        <w:ind w:right="0" w:left="0" w:firstLine="0"/>
        <w:jc w:val="both"/>
        <w:rPr>
          <w:rFonts w:ascii="Garamond" w:hAnsi="Garamond" w:cs="Garamond" w:eastAsia="Garamond"/>
          <w:color w:val="000000"/>
          <w:spacing w:val="0"/>
          <w:position w:val="0"/>
          <w:sz w:val="30"/>
          <w:shd w:fill="auto" w:val="clear"/>
        </w:rPr>
      </w:pPr>
      <w:r>
        <w:rPr>
          <w:rFonts w:ascii="Garamond" w:hAnsi="Garamond" w:cs="Garamond" w:eastAsia="Garamond"/>
          <w:color w:val="000000"/>
          <w:spacing w:val="0"/>
          <w:position w:val="0"/>
          <w:sz w:val="30"/>
          <w:shd w:fill="auto" w:val="clear"/>
        </w:rPr>
        <w:t xml:space="preserve">In più, il Collegio condivide anche l’ulteriore censure della ricorrente, per la quale nel caso di specie doveva comunque essere considerata la circostanza del sopravvenuto annullamento della domanda n. 79, per la quale però i candidati che avevano fornito la relativa risposta, come la ricorrente, avevano utilizzato energie e tempo che avrebbero potuti essere dirottati su altre risposte.</w:t>
      </w:r>
    </w:p>
    <w:p>
      <w:pPr>
        <w:spacing w:before="0" w:after="0" w:line="520"/>
        <w:ind w:right="0" w:left="0" w:firstLine="0"/>
        <w:jc w:val="both"/>
        <w:rPr>
          <w:rFonts w:ascii="Garamond" w:hAnsi="Garamond" w:cs="Garamond" w:eastAsia="Garamond"/>
          <w:color w:val="000000"/>
          <w:spacing w:val="0"/>
          <w:position w:val="0"/>
          <w:sz w:val="30"/>
          <w:shd w:fill="auto" w:val="clear"/>
        </w:rPr>
      </w:pPr>
      <w:r>
        <w:rPr>
          <w:rFonts w:ascii="Garamond" w:hAnsi="Garamond" w:cs="Garamond" w:eastAsia="Garamond"/>
          <w:color w:val="000000"/>
          <w:spacing w:val="0"/>
          <w:position w:val="0"/>
          <w:sz w:val="30"/>
          <w:shd w:fill="auto" w:val="clear"/>
        </w:rPr>
        <w:t xml:space="preserve">In sostanza, anche la soglia minima doveva proporzionalmente essere ricalcolata e ciò non è accaduto.</w:t>
      </w:r>
    </w:p>
    <w:p>
      <w:pPr>
        <w:spacing w:before="0" w:after="0" w:line="520"/>
        <w:ind w:right="0" w:left="0" w:firstLine="0"/>
        <w:jc w:val="both"/>
        <w:rPr>
          <w:rFonts w:ascii="Garamond" w:hAnsi="Garamond" w:cs="Garamond" w:eastAsia="Garamond"/>
          <w:color w:val="000000"/>
          <w:spacing w:val="0"/>
          <w:position w:val="0"/>
          <w:sz w:val="30"/>
          <w:shd w:fill="auto" w:val="clear"/>
        </w:rPr>
      </w:pPr>
      <w:r>
        <w:rPr>
          <w:rFonts w:ascii="Garamond" w:hAnsi="Garamond" w:cs="Garamond" w:eastAsia="Garamond"/>
          <w:color w:val="000000"/>
          <w:spacing w:val="0"/>
          <w:position w:val="0"/>
          <w:sz w:val="30"/>
          <w:shd w:fill="auto" w:val="clear"/>
        </w:rPr>
        <w:t xml:space="preserve">La fondatezza dei primi motivi di ricorso, quindi, comporta l’assorbimento dei successivi, secondo quanto precisato nella sua domanda dalla ricorrente, che a pag. 12 del gravame ha chiarito che i motivi successivi al quarto erano formulati in mera via subordinata nell’ipotesi di mancato accoglimento dei precedenti.</w:t>
      </w:r>
    </w:p>
    <w:p>
      <w:pPr>
        <w:spacing w:before="0" w:after="0" w:line="520"/>
        <w:ind w:right="0" w:left="0" w:firstLine="0"/>
        <w:jc w:val="both"/>
        <w:rPr>
          <w:rFonts w:ascii="Garamond" w:hAnsi="Garamond" w:cs="Garamond" w:eastAsia="Garamond"/>
          <w:color w:val="000000"/>
          <w:spacing w:val="0"/>
          <w:position w:val="0"/>
          <w:sz w:val="30"/>
          <w:shd w:fill="auto" w:val="clear"/>
        </w:rPr>
      </w:pPr>
      <w:r>
        <w:rPr>
          <w:rFonts w:ascii="Garamond" w:hAnsi="Garamond" w:cs="Garamond" w:eastAsia="Garamond"/>
          <w:color w:val="000000"/>
          <w:spacing w:val="0"/>
          <w:position w:val="0"/>
          <w:sz w:val="30"/>
          <w:shd w:fill="auto" w:val="clear"/>
        </w:rPr>
        <w:t xml:space="preserve">In conclusione, quindi, deve dichiararsi l’illegittimità dell’art. 10 del d.m. 28.6.12 n. 196 nella parte in cui prevede l’ammissione ai corsi dei soli studenti che abbiano conseguito una soglia minima di punteggio pari a 20 anche nell’ipotesi di mancata integrale copertura dei posti programmati.</w:t>
      </w:r>
    </w:p>
    <w:p>
      <w:pPr>
        <w:spacing w:before="0" w:after="0" w:line="520"/>
        <w:ind w:right="0" w:left="0" w:firstLine="0"/>
        <w:jc w:val="both"/>
        <w:rPr>
          <w:rFonts w:ascii="Garamond" w:hAnsi="Garamond" w:cs="Garamond" w:eastAsia="Garamond"/>
          <w:color w:val="000000"/>
          <w:spacing w:val="0"/>
          <w:position w:val="0"/>
          <w:sz w:val="30"/>
          <w:shd w:fill="auto" w:val="clear"/>
        </w:rPr>
      </w:pPr>
      <w:r>
        <w:rPr>
          <w:rFonts w:ascii="Garamond" w:hAnsi="Garamond" w:cs="Garamond" w:eastAsia="Garamond"/>
          <w:color w:val="000000"/>
          <w:spacing w:val="0"/>
          <w:position w:val="0"/>
          <w:sz w:val="30"/>
          <w:shd w:fill="auto" w:val="clear"/>
        </w:rPr>
        <w:t xml:space="preserve">L’ampia disponibilità di posti residuati esclude poi l’individuazione della posizione di controinteressati nel presente giudizio.</w:t>
      </w:r>
    </w:p>
    <w:p>
      <w:pPr>
        <w:spacing w:before="0" w:after="0" w:line="520"/>
        <w:ind w:right="0" w:left="0" w:firstLine="0"/>
        <w:jc w:val="both"/>
        <w:rPr>
          <w:rFonts w:ascii="Garamond" w:hAnsi="Garamond" w:cs="Garamond" w:eastAsia="Garamond"/>
          <w:color w:val="000000"/>
          <w:spacing w:val="0"/>
          <w:position w:val="0"/>
          <w:sz w:val="30"/>
          <w:shd w:fill="auto" w:val="clear"/>
        </w:rPr>
      </w:pPr>
      <w:r>
        <w:rPr>
          <w:rFonts w:ascii="Garamond" w:hAnsi="Garamond" w:cs="Garamond" w:eastAsia="Garamond"/>
          <w:color w:val="000000"/>
          <w:spacing w:val="0"/>
          <w:position w:val="0"/>
          <w:sz w:val="30"/>
          <w:shd w:fill="auto" w:val="clear"/>
        </w:rPr>
        <w:t xml:space="preserve">L’Amministrazione dovrà quindi provvedere allo scorrimento integrale della graduatoria in relazione alla posizione della ricorrente e disporre di conseguenza.</w:t>
      </w:r>
    </w:p>
    <w:p>
      <w:pPr>
        <w:spacing w:before="0" w:after="0" w:line="520"/>
        <w:ind w:right="0" w:left="0" w:firstLine="0"/>
        <w:jc w:val="both"/>
        <w:rPr>
          <w:rFonts w:ascii="Garamond" w:hAnsi="Garamond" w:cs="Garamond" w:eastAsia="Garamond"/>
          <w:color w:val="000000"/>
          <w:spacing w:val="0"/>
          <w:position w:val="0"/>
          <w:sz w:val="30"/>
          <w:shd w:fill="auto" w:val="clear"/>
        </w:rPr>
      </w:pPr>
      <w:r>
        <w:rPr>
          <w:rFonts w:ascii="Garamond" w:hAnsi="Garamond" w:cs="Garamond" w:eastAsia="Garamond"/>
          <w:color w:val="000000"/>
          <w:spacing w:val="0"/>
          <w:position w:val="0"/>
          <w:sz w:val="30"/>
          <w:shd w:fill="auto" w:val="clear"/>
        </w:rPr>
        <w:t xml:space="preserve">Non si rilevano i presupposti per accogliere anche la domanda risarcitoria, attesa la tutela cautelare intervenuta e la genericità della domanda medesima.</w:t>
      </w:r>
    </w:p>
    <w:p>
      <w:pPr>
        <w:spacing w:before="0" w:after="0" w:line="520"/>
        <w:ind w:right="0" w:left="0" w:firstLine="0"/>
        <w:jc w:val="both"/>
        <w:rPr>
          <w:rFonts w:ascii="Garamond" w:hAnsi="Garamond" w:cs="Garamond" w:eastAsia="Garamond"/>
          <w:color w:val="000000"/>
          <w:spacing w:val="0"/>
          <w:position w:val="0"/>
          <w:sz w:val="30"/>
          <w:shd w:fill="auto" w:val="clear"/>
        </w:rPr>
      </w:pPr>
      <w:r>
        <w:rPr>
          <w:rFonts w:ascii="Garamond" w:hAnsi="Garamond" w:cs="Garamond" w:eastAsia="Garamond"/>
          <w:color w:val="000000"/>
          <w:spacing w:val="0"/>
          <w:position w:val="0"/>
          <w:sz w:val="30"/>
          <w:shd w:fill="auto" w:val="clear"/>
        </w:rPr>
        <w:t xml:space="preserve">Le spese del giudizio possono eccezionalmente compensarsi, attesa la peculiarità e novità della questione e l’accoglimento solo parziale del ricorso in relazione alla domanda di annullamento.</w:t>
      </w:r>
    </w:p>
    <w:p>
      <w:pPr>
        <w:spacing w:before="0" w:after="0" w:line="540"/>
        <w:ind w:right="0" w:left="0" w:firstLine="0"/>
        <w:jc w:val="center"/>
        <w:rPr>
          <w:rFonts w:ascii="Garamond" w:hAnsi="Garamond" w:cs="Garamond" w:eastAsia="Garamond"/>
          <w:color w:val="000000"/>
          <w:spacing w:val="0"/>
          <w:position w:val="0"/>
          <w:sz w:val="30"/>
          <w:shd w:fill="auto" w:val="clear"/>
        </w:rPr>
      </w:pPr>
      <w:r>
        <w:rPr>
          <w:rFonts w:ascii="Garamond" w:hAnsi="Garamond" w:cs="Garamond" w:eastAsia="Garamond"/>
          <w:color w:val="000000"/>
          <w:spacing w:val="0"/>
          <w:position w:val="0"/>
          <w:sz w:val="30"/>
          <w:shd w:fill="auto" w:val="clear"/>
        </w:rPr>
        <w:t xml:space="preserve">P.Q.M.</w:t>
      </w:r>
    </w:p>
    <w:p>
      <w:pPr>
        <w:spacing w:before="0" w:after="0" w:line="520"/>
        <w:ind w:right="0" w:left="0" w:firstLine="0"/>
        <w:jc w:val="both"/>
        <w:rPr>
          <w:rFonts w:ascii="Garamond" w:hAnsi="Garamond" w:cs="Garamond" w:eastAsia="Garamond"/>
          <w:color w:val="000000"/>
          <w:spacing w:val="0"/>
          <w:position w:val="0"/>
          <w:sz w:val="30"/>
          <w:shd w:fill="auto" w:val="clear"/>
        </w:rPr>
      </w:pPr>
      <w:r>
        <w:rPr>
          <w:rFonts w:ascii="Garamond" w:hAnsi="Garamond" w:cs="Garamond" w:eastAsia="Garamond"/>
          <w:color w:val="000000"/>
          <w:spacing w:val="0"/>
          <w:position w:val="0"/>
          <w:sz w:val="30"/>
          <w:shd w:fill="auto" w:val="clear"/>
        </w:rPr>
        <w:t xml:space="preserve">Il Tribunale Amministrativo Regionale per il Lazio (Sezione Terza), definitivamente pronunciando sul ricorso, come in epigrafe proposto, lo accoglie e per l’effetto annulla i provvedimenti impugnati nei sensi e limiti di cui in motivazione.</w:t>
      </w:r>
    </w:p>
    <w:p>
      <w:pPr>
        <w:spacing w:before="0" w:after="0" w:line="520"/>
        <w:ind w:right="0" w:left="0" w:firstLine="0"/>
        <w:jc w:val="both"/>
        <w:rPr>
          <w:rFonts w:ascii="Garamond" w:hAnsi="Garamond" w:cs="Garamond" w:eastAsia="Garamond"/>
          <w:color w:val="000000"/>
          <w:spacing w:val="0"/>
          <w:position w:val="0"/>
          <w:sz w:val="30"/>
          <w:shd w:fill="auto" w:val="clear"/>
        </w:rPr>
      </w:pPr>
      <w:r>
        <w:rPr>
          <w:rFonts w:ascii="Garamond" w:hAnsi="Garamond" w:cs="Garamond" w:eastAsia="Garamond"/>
          <w:color w:val="000000"/>
          <w:spacing w:val="0"/>
          <w:position w:val="0"/>
          <w:sz w:val="30"/>
          <w:shd w:fill="auto" w:val="clear"/>
        </w:rPr>
        <w:t xml:space="preserve">Spese compensate.</w:t>
      </w:r>
    </w:p>
    <w:p>
      <w:pPr>
        <w:spacing w:before="0" w:after="0" w:line="520"/>
        <w:ind w:right="0" w:left="0" w:firstLine="0"/>
        <w:jc w:val="both"/>
        <w:rPr>
          <w:rFonts w:ascii="Garamond" w:hAnsi="Garamond" w:cs="Garamond" w:eastAsia="Garamond"/>
          <w:color w:val="000000"/>
          <w:spacing w:val="0"/>
          <w:position w:val="0"/>
          <w:sz w:val="30"/>
          <w:shd w:fill="auto" w:val="clear"/>
        </w:rPr>
      </w:pPr>
      <w:r>
        <w:rPr>
          <w:rFonts w:ascii="Garamond" w:hAnsi="Garamond" w:cs="Garamond" w:eastAsia="Garamond"/>
          <w:color w:val="000000"/>
          <w:spacing w:val="0"/>
          <w:position w:val="0"/>
          <w:sz w:val="30"/>
          <w:shd w:fill="auto" w:val="clear"/>
        </w:rPr>
        <w:t xml:space="preserve">Ordina che la presente sentenza sia eseguita dall'autorità amministrativa.</w:t>
      </w:r>
    </w:p>
    <w:p>
      <w:pPr>
        <w:spacing w:before="0" w:after="0" w:line="520"/>
        <w:ind w:right="0" w:left="0" w:firstLine="0"/>
        <w:jc w:val="both"/>
        <w:rPr>
          <w:rFonts w:ascii="Garamond" w:hAnsi="Garamond" w:cs="Garamond" w:eastAsia="Garamond"/>
          <w:color w:val="000000"/>
          <w:spacing w:val="0"/>
          <w:position w:val="0"/>
          <w:sz w:val="30"/>
          <w:shd w:fill="auto" w:val="clear"/>
        </w:rPr>
      </w:pPr>
      <w:r>
        <w:rPr>
          <w:rFonts w:ascii="Garamond" w:hAnsi="Garamond" w:cs="Garamond" w:eastAsia="Garamond"/>
          <w:color w:val="000000"/>
          <w:spacing w:val="0"/>
          <w:position w:val="0"/>
          <w:sz w:val="30"/>
          <w:shd w:fill="auto" w:val="clear"/>
        </w:rPr>
        <w:t xml:space="preserve">Così deciso in Roma nella camera di consiglio del 6 novembre 2013 con l'intervento dei magistrati:</w:t>
      </w:r>
    </w:p>
    <w:p>
      <w:pPr>
        <w:spacing w:before="0" w:after="0" w:line="520"/>
        <w:ind w:right="0" w:left="0" w:firstLine="567"/>
        <w:jc w:val="left"/>
        <w:rPr>
          <w:rFonts w:ascii="Garamond" w:hAnsi="Garamond" w:cs="Garamond" w:eastAsia="Garamond"/>
          <w:color w:val="000000"/>
          <w:spacing w:val="0"/>
          <w:position w:val="0"/>
          <w:sz w:val="30"/>
          <w:shd w:fill="auto" w:val="clear"/>
        </w:rPr>
      </w:pPr>
      <w:r>
        <w:rPr>
          <w:rFonts w:ascii="Garamond" w:hAnsi="Garamond" w:cs="Garamond" w:eastAsia="Garamond"/>
          <w:color w:val="000000"/>
          <w:spacing w:val="0"/>
          <w:position w:val="0"/>
          <w:sz w:val="30"/>
          <w:shd w:fill="auto" w:val="clear"/>
        </w:rPr>
        <w:t xml:space="preserve">Franco Bianchi, Presidente</w:t>
      </w:r>
    </w:p>
    <w:p>
      <w:pPr>
        <w:spacing w:before="0" w:after="0" w:line="520"/>
        <w:ind w:right="0" w:left="0" w:firstLine="567"/>
        <w:jc w:val="left"/>
        <w:rPr>
          <w:rFonts w:ascii="Garamond" w:hAnsi="Garamond" w:cs="Garamond" w:eastAsia="Garamond"/>
          <w:color w:val="000000"/>
          <w:spacing w:val="0"/>
          <w:position w:val="0"/>
          <w:sz w:val="30"/>
          <w:shd w:fill="auto" w:val="clear"/>
        </w:rPr>
      </w:pPr>
      <w:r>
        <w:rPr>
          <w:rFonts w:ascii="Garamond" w:hAnsi="Garamond" w:cs="Garamond" w:eastAsia="Garamond"/>
          <w:color w:val="000000"/>
          <w:spacing w:val="0"/>
          <w:position w:val="0"/>
          <w:sz w:val="30"/>
          <w:shd w:fill="auto" w:val="clear"/>
        </w:rPr>
        <w:t xml:space="preserve">Ivo Correale, Consigliere, Estensore</w:t>
      </w:r>
    </w:p>
    <w:p>
      <w:pPr>
        <w:spacing w:before="0" w:after="0" w:line="520"/>
        <w:ind w:right="0" w:left="0" w:firstLine="567"/>
        <w:jc w:val="left"/>
        <w:rPr>
          <w:rFonts w:ascii="Garamond" w:hAnsi="Garamond" w:cs="Garamond" w:eastAsia="Garamond"/>
          <w:color w:val="000000"/>
          <w:spacing w:val="0"/>
          <w:position w:val="0"/>
          <w:sz w:val="30"/>
          <w:shd w:fill="auto" w:val="clear"/>
        </w:rPr>
      </w:pPr>
      <w:r>
        <w:rPr>
          <w:rFonts w:ascii="Garamond" w:hAnsi="Garamond" w:cs="Garamond" w:eastAsia="Garamond"/>
          <w:color w:val="000000"/>
          <w:spacing w:val="0"/>
          <w:position w:val="0"/>
          <w:sz w:val="30"/>
          <w:shd w:fill="auto" w:val="clear"/>
        </w:rPr>
        <w:t xml:space="preserve">Maria Grazia Vivarelli, Consigliere</w:t>
      </w:r>
    </w:p>
    <w:tbl>
      <w:tblPr/>
      <w:tblGrid>
        <w:gridCol w:w="4551"/>
        <w:gridCol w:w="3222"/>
        <w:gridCol w:w="5034"/>
      </w:tblGrid>
      <w:tr>
        <w:trPr>
          <w:trHeight w:val="1" w:hRule="atLeast"/>
          <w:jc w:val="left"/>
        </w:trPr>
        <w:tc>
          <w:tcPr>
            <w:tcW w:w="4551" w:type="dxa"/>
            <w:tcBorders>
              <w:top w:val="single" w:color="000000" w:sz="0"/>
              <w:left w:val="single" w:color="000000" w:sz="0"/>
              <w:bottom w:val="single" w:color="000000" w:sz="0"/>
              <w:right w:val="single" w:color="000000" w:sz="0"/>
            </w:tcBorders>
            <w:shd w:color="000000" w:fill="ffffff" w:val="clear"/>
            <w:tcMar>
              <w:left w:w="14" w:type="dxa"/>
              <w:right w:w="14" w:type="dxa"/>
            </w:tcMar>
            <w:vAlign w:val="center"/>
          </w:tcPr>
          <w:p>
            <w:pPr>
              <w:spacing w:before="0" w:after="0" w:line="240"/>
              <w:ind w:right="0" w:left="0" w:firstLine="0"/>
              <w:jc w:val="center"/>
              <w:rPr>
                <w:color w:val="auto"/>
                <w:spacing w:val="0"/>
                <w:position w:val="0"/>
              </w:rPr>
            </w:pPr>
            <w:r>
              <w:rPr>
                <w:rFonts w:ascii="Times New Roman" w:hAnsi="Times New Roman" w:cs="Times New Roman" w:eastAsia="Times New Roman"/>
                <w:b/>
                <w:color w:val="auto"/>
                <w:spacing w:val="0"/>
                <w:position w:val="0"/>
                <w:sz w:val="28"/>
                <w:shd w:fill="auto" w:val="clear"/>
              </w:rPr>
              <w:t xml:space="preserve"> </w:t>
            </w:r>
          </w:p>
        </w:tc>
        <w:tc>
          <w:tcPr>
            <w:tcW w:w="3222" w:type="dxa"/>
            <w:tcBorders>
              <w:top w:val="single" w:color="000000" w:sz="0"/>
              <w:left w:val="single" w:color="000000" w:sz="0"/>
              <w:bottom w:val="single" w:color="000000" w:sz="0"/>
              <w:right w:val="single" w:color="000000" w:sz="0"/>
            </w:tcBorders>
            <w:shd w:color="000000" w:fill="ffffff" w:val="clear"/>
            <w:tcMar>
              <w:left w:w="14" w:type="dxa"/>
              <w:right w:w="14"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5034" w:type="dxa"/>
            <w:tcBorders>
              <w:top w:val="single" w:color="000000" w:sz="0"/>
              <w:left w:val="single" w:color="000000" w:sz="0"/>
              <w:bottom w:val="single" w:color="000000" w:sz="0"/>
              <w:right w:val="single" w:color="000000" w:sz="0"/>
            </w:tcBorders>
            <w:shd w:color="000000" w:fill="ffffff" w:val="clear"/>
            <w:tcMar>
              <w:left w:w="14" w:type="dxa"/>
              <w:right w:w="14"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r>
      <w:tr>
        <w:trPr>
          <w:trHeight w:val="1" w:hRule="atLeast"/>
          <w:jc w:val="left"/>
        </w:trPr>
        <w:tc>
          <w:tcPr>
            <w:tcW w:w="4551" w:type="dxa"/>
            <w:tcBorders>
              <w:top w:val="single" w:color="000000" w:sz="0"/>
              <w:left w:val="single" w:color="000000" w:sz="0"/>
              <w:bottom w:val="single" w:color="000000" w:sz="0"/>
              <w:right w:val="single" w:color="000000" w:sz="0"/>
            </w:tcBorders>
            <w:shd w:color="000000" w:fill="ffffff" w:val="clear"/>
            <w:tcMar>
              <w:left w:w="14" w:type="dxa"/>
              <w:right w:w="14" w:type="dxa"/>
            </w:tcMar>
            <w:vAlign w:val="center"/>
          </w:tcPr>
          <w:p>
            <w:pPr>
              <w:spacing w:before="0" w:after="0" w:line="240"/>
              <w:ind w:right="0" w:left="0" w:firstLine="0"/>
              <w:jc w:val="center"/>
              <w:rPr>
                <w:color w:val="auto"/>
                <w:spacing w:val="0"/>
                <w:position w:val="0"/>
              </w:rPr>
            </w:pPr>
            <w:r>
              <w:rPr>
                <w:rFonts w:ascii="Times New Roman" w:hAnsi="Times New Roman" w:cs="Times New Roman" w:eastAsia="Times New Roman"/>
                <w:b/>
                <w:color w:val="auto"/>
                <w:spacing w:val="0"/>
                <w:position w:val="0"/>
                <w:sz w:val="28"/>
                <w:shd w:fill="auto" w:val="clear"/>
              </w:rPr>
              <w:t xml:space="preserve"> </w:t>
            </w:r>
          </w:p>
        </w:tc>
        <w:tc>
          <w:tcPr>
            <w:tcW w:w="3222" w:type="dxa"/>
            <w:tcBorders>
              <w:top w:val="single" w:color="000000" w:sz="0"/>
              <w:left w:val="single" w:color="000000" w:sz="0"/>
              <w:bottom w:val="single" w:color="000000" w:sz="0"/>
              <w:right w:val="single" w:color="000000" w:sz="0"/>
            </w:tcBorders>
            <w:shd w:color="000000" w:fill="ffffff" w:val="clear"/>
            <w:tcMar>
              <w:left w:w="14" w:type="dxa"/>
              <w:right w:w="14"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5034" w:type="dxa"/>
            <w:tcBorders>
              <w:top w:val="single" w:color="000000" w:sz="0"/>
              <w:left w:val="single" w:color="000000" w:sz="0"/>
              <w:bottom w:val="single" w:color="000000" w:sz="0"/>
              <w:right w:val="single" w:color="000000" w:sz="0"/>
            </w:tcBorders>
            <w:shd w:color="000000" w:fill="ffffff" w:val="clear"/>
            <w:tcMar>
              <w:left w:w="14" w:type="dxa"/>
              <w:right w:w="14"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r>
      <w:tr>
        <w:trPr>
          <w:trHeight w:val="1" w:hRule="atLeast"/>
          <w:jc w:val="left"/>
        </w:trPr>
        <w:tc>
          <w:tcPr>
            <w:tcW w:w="4551" w:type="dxa"/>
            <w:tcBorders>
              <w:top w:val="single" w:color="000000" w:sz="0"/>
              <w:left w:val="single" w:color="000000" w:sz="0"/>
              <w:bottom w:val="single" w:color="000000" w:sz="0"/>
              <w:right w:val="single" w:color="000000" w:sz="0"/>
            </w:tcBorders>
            <w:shd w:color="000000" w:fill="ffffff" w:val="clear"/>
            <w:tcMar>
              <w:left w:w="14" w:type="dxa"/>
              <w:right w:w="14" w:type="dxa"/>
            </w:tcMar>
            <w:vAlign w:val="center"/>
          </w:tcPr>
          <w:p>
            <w:pPr>
              <w:spacing w:before="0" w:after="0" w:line="240"/>
              <w:ind w:right="0" w:left="0" w:firstLine="0"/>
              <w:jc w:val="center"/>
              <w:rPr>
                <w:color w:val="auto"/>
                <w:spacing w:val="0"/>
                <w:position w:val="0"/>
              </w:rPr>
            </w:pPr>
            <w:r>
              <w:rPr>
                <w:rFonts w:ascii="Times New Roman" w:hAnsi="Times New Roman" w:cs="Times New Roman" w:eastAsia="Times New Roman"/>
                <w:b/>
                <w:color w:val="auto"/>
                <w:spacing w:val="0"/>
                <w:position w:val="0"/>
                <w:sz w:val="28"/>
                <w:shd w:fill="auto" w:val="clear"/>
              </w:rPr>
              <w:t xml:space="preserve">L'ESTENSORE</w:t>
            </w:r>
          </w:p>
        </w:tc>
        <w:tc>
          <w:tcPr>
            <w:tcW w:w="3222" w:type="dxa"/>
            <w:tcBorders>
              <w:top w:val="single" w:color="000000" w:sz="0"/>
              <w:left w:val="single" w:color="000000" w:sz="0"/>
              <w:bottom w:val="single" w:color="000000" w:sz="0"/>
              <w:right w:val="single" w:color="000000" w:sz="0"/>
            </w:tcBorders>
            <w:shd w:color="000000" w:fill="ffffff" w:val="clear"/>
            <w:tcMar>
              <w:left w:w="14" w:type="dxa"/>
              <w:right w:w="14"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5034" w:type="dxa"/>
            <w:tcBorders>
              <w:top w:val="single" w:color="000000" w:sz="0"/>
              <w:left w:val="single" w:color="000000" w:sz="0"/>
              <w:bottom w:val="single" w:color="000000" w:sz="0"/>
              <w:right w:val="single" w:color="000000" w:sz="0"/>
            </w:tcBorders>
            <w:shd w:color="000000" w:fill="ffffff" w:val="clear"/>
            <w:tcMar>
              <w:left w:w="14" w:type="dxa"/>
              <w:right w:w="14" w:type="dxa"/>
            </w:tcMar>
            <w:vAlign w:val="center"/>
          </w:tcPr>
          <w:p>
            <w:pPr>
              <w:spacing w:before="0" w:after="0" w:line="240"/>
              <w:ind w:right="0" w:left="0" w:firstLine="0"/>
              <w:jc w:val="center"/>
              <w:rPr>
                <w:color w:val="auto"/>
                <w:spacing w:val="0"/>
                <w:position w:val="0"/>
              </w:rPr>
            </w:pPr>
            <w:r>
              <w:rPr>
                <w:rFonts w:ascii="Times New Roman" w:hAnsi="Times New Roman" w:cs="Times New Roman" w:eastAsia="Times New Roman"/>
                <w:b/>
                <w:color w:val="auto"/>
                <w:spacing w:val="0"/>
                <w:position w:val="0"/>
                <w:sz w:val="28"/>
                <w:shd w:fill="auto" w:val="clear"/>
              </w:rPr>
              <w:t xml:space="preserve">IL PRESIDENTE</w:t>
            </w:r>
          </w:p>
        </w:tc>
      </w:tr>
      <w:tr>
        <w:trPr>
          <w:trHeight w:val="1" w:hRule="atLeast"/>
          <w:jc w:val="left"/>
        </w:trPr>
        <w:tc>
          <w:tcPr>
            <w:tcW w:w="4551" w:type="dxa"/>
            <w:tcBorders>
              <w:top w:val="single" w:color="000000" w:sz="0"/>
              <w:left w:val="single" w:color="000000" w:sz="0"/>
              <w:bottom w:val="single" w:color="000000" w:sz="0"/>
              <w:right w:val="single" w:color="000000" w:sz="0"/>
            </w:tcBorders>
            <w:shd w:color="000000" w:fill="ffffff" w:val="clear"/>
            <w:tcMar>
              <w:left w:w="14" w:type="dxa"/>
              <w:right w:w="14" w:type="dxa"/>
            </w:tcMar>
            <w:vAlign w:val="center"/>
          </w:tcPr>
          <w:p>
            <w:pPr>
              <w:spacing w:before="0" w:after="0" w:line="240"/>
              <w:ind w:right="0" w:left="0" w:firstLine="0"/>
              <w:jc w:val="center"/>
              <w:rPr>
                <w:color w:val="auto"/>
                <w:spacing w:val="0"/>
                <w:position w:val="0"/>
              </w:rPr>
            </w:pPr>
            <w:r>
              <w:rPr>
                <w:rFonts w:ascii="Times New Roman" w:hAnsi="Times New Roman" w:cs="Times New Roman" w:eastAsia="Times New Roman"/>
                <w:b/>
                <w:color w:val="auto"/>
                <w:spacing w:val="0"/>
                <w:position w:val="0"/>
                <w:sz w:val="28"/>
                <w:shd w:fill="auto" w:val="clear"/>
              </w:rPr>
              <w:t xml:space="preserve"> </w:t>
            </w:r>
          </w:p>
        </w:tc>
        <w:tc>
          <w:tcPr>
            <w:tcW w:w="3222" w:type="dxa"/>
            <w:tcBorders>
              <w:top w:val="single" w:color="000000" w:sz="0"/>
              <w:left w:val="single" w:color="000000" w:sz="0"/>
              <w:bottom w:val="single" w:color="000000" w:sz="0"/>
              <w:right w:val="single" w:color="000000" w:sz="0"/>
            </w:tcBorders>
            <w:shd w:color="000000" w:fill="ffffff" w:val="clear"/>
            <w:tcMar>
              <w:left w:w="14" w:type="dxa"/>
              <w:right w:w="14"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5034" w:type="dxa"/>
            <w:tcBorders>
              <w:top w:val="single" w:color="000000" w:sz="0"/>
              <w:left w:val="single" w:color="000000" w:sz="0"/>
              <w:bottom w:val="single" w:color="000000" w:sz="0"/>
              <w:right w:val="single" w:color="000000" w:sz="0"/>
            </w:tcBorders>
            <w:shd w:color="000000" w:fill="ffffff" w:val="clear"/>
            <w:tcMar>
              <w:left w:w="14" w:type="dxa"/>
              <w:right w:w="14"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r>
      <w:tr>
        <w:trPr>
          <w:trHeight w:val="1" w:hRule="atLeast"/>
          <w:jc w:val="left"/>
        </w:trPr>
        <w:tc>
          <w:tcPr>
            <w:tcW w:w="4551" w:type="dxa"/>
            <w:tcBorders>
              <w:top w:val="single" w:color="000000" w:sz="0"/>
              <w:left w:val="single" w:color="000000" w:sz="0"/>
              <w:bottom w:val="single" w:color="000000" w:sz="0"/>
              <w:right w:val="single" w:color="000000" w:sz="0"/>
            </w:tcBorders>
            <w:shd w:color="000000" w:fill="ffffff" w:val="clear"/>
            <w:tcMar>
              <w:left w:w="14" w:type="dxa"/>
              <w:right w:w="14" w:type="dxa"/>
            </w:tcMar>
            <w:vAlign w:val="center"/>
          </w:tcPr>
          <w:p>
            <w:pPr>
              <w:spacing w:before="0" w:after="0" w:line="240"/>
              <w:ind w:right="0" w:left="0" w:firstLine="0"/>
              <w:jc w:val="center"/>
              <w:rPr>
                <w:color w:val="auto"/>
                <w:spacing w:val="0"/>
                <w:position w:val="0"/>
              </w:rPr>
            </w:pPr>
            <w:r>
              <w:rPr>
                <w:rFonts w:ascii="Times New Roman" w:hAnsi="Times New Roman" w:cs="Times New Roman" w:eastAsia="Times New Roman"/>
                <w:b/>
                <w:color w:val="auto"/>
                <w:spacing w:val="0"/>
                <w:position w:val="0"/>
                <w:sz w:val="28"/>
                <w:shd w:fill="auto" w:val="clear"/>
              </w:rPr>
              <w:t xml:space="preserve"> </w:t>
            </w:r>
          </w:p>
        </w:tc>
        <w:tc>
          <w:tcPr>
            <w:tcW w:w="3222" w:type="dxa"/>
            <w:tcBorders>
              <w:top w:val="single" w:color="000000" w:sz="0"/>
              <w:left w:val="single" w:color="000000" w:sz="0"/>
              <w:bottom w:val="single" w:color="000000" w:sz="0"/>
              <w:right w:val="single" w:color="000000" w:sz="0"/>
            </w:tcBorders>
            <w:shd w:color="000000" w:fill="ffffff" w:val="clear"/>
            <w:tcMar>
              <w:left w:w="14" w:type="dxa"/>
              <w:right w:w="14"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5034" w:type="dxa"/>
            <w:tcBorders>
              <w:top w:val="single" w:color="000000" w:sz="0"/>
              <w:left w:val="single" w:color="000000" w:sz="0"/>
              <w:bottom w:val="single" w:color="000000" w:sz="0"/>
              <w:right w:val="single" w:color="000000" w:sz="0"/>
            </w:tcBorders>
            <w:shd w:color="000000" w:fill="ffffff" w:val="clear"/>
            <w:tcMar>
              <w:left w:w="14" w:type="dxa"/>
              <w:right w:w="14"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r>
      <w:tr>
        <w:trPr>
          <w:trHeight w:val="1" w:hRule="atLeast"/>
          <w:jc w:val="left"/>
        </w:trPr>
        <w:tc>
          <w:tcPr>
            <w:tcW w:w="4551" w:type="dxa"/>
            <w:tcBorders>
              <w:top w:val="single" w:color="000000" w:sz="0"/>
              <w:left w:val="single" w:color="000000" w:sz="0"/>
              <w:bottom w:val="single" w:color="000000" w:sz="0"/>
              <w:right w:val="single" w:color="000000" w:sz="0"/>
            </w:tcBorders>
            <w:shd w:color="000000" w:fill="ffffff" w:val="clear"/>
            <w:tcMar>
              <w:left w:w="14" w:type="dxa"/>
              <w:right w:w="14" w:type="dxa"/>
            </w:tcMar>
            <w:vAlign w:val="center"/>
          </w:tcPr>
          <w:p>
            <w:pPr>
              <w:spacing w:before="0" w:after="0" w:line="240"/>
              <w:ind w:right="0" w:left="0" w:firstLine="0"/>
              <w:jc w:val="center"/>
              <w:rPr>
                <w:color w:val="auto"/>
                <w:spacing w:val="0"/>
                <w:position w:val="0"/>
              </w:rPr>
            </w:pPr>
            <w:r>
              <w:rPr>
                <w:rFonts w:ascii="Times New Roman" w:hAnsi="Times New Roman" w:cs="Times New Roman" w:eastAsia="Times New Roman"/>
                <w:b/>
                <w:color w:val="auto"/>
                <w:spacing w:val="0"/>
                <w:position w:val="0"/>
                <w:sz w:val="28"/>
                <w:shd w:fill="auto" w:val="clear"/>
              </w:rPr>
              <w:t xml:space="preserve"> </w:t>
            </w:r>
          </w:p>
        </w:tc>
        <w:tc>
          <w:tcPr>
            <w:tcW w:w="3222" w:type="dxa"/>
            <w:tcBorders>
              <w:top w:val="single" w:color="000000" w:sz="0"/>
              <w:left w:val="single" w:color="000000" w:sz="0"/>
              <w:bottom w:val="single" w:color="000000" w:sz="0"/>
              <w:right w:val="single" w:color="000000" w:sz="0"/>
            </w:tcBorders>
            <w:shd w:color="000000" w:fill="ffffff" w:val="clear"/>
            <w:tcMar>
              <w:left w:w="14" w:type="dxa"/>
              <w:right w:w="14"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5034" w:type="dxa"/>
            <w:tcBorders>
              <w:top w:val="single" w:color="000000" w:sz="0"/>
              <w:left w:val="single" w:color="000000" w:sz="0"/>
              <w:bottom w:val="single" w:color="000000" w:sz="0"/>
              <w:right w:val="single" w:color="000000" w:sz="0"/>
            </w:tcBorders>
            <w:shd w:color="000000" w:fill="ffffff" w:val="clear"/>
            <w:tcMar>
              <w:left w:w="14" w:type="dxa"/>
              <w:right w:w="14"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r>
      <w:tr>
        <w:trPr>
          <w:trHeight w:val="1" w:hRule="atLeast"/>
          <w:jc w:val="left"/>
        </w:trPr>
        <w:tc>
          <w:tcPr>
            <w:tcW w:w="4551" w:type="dxa"/>
            <w:tcBorders>
              <w:top w:val="single" w:color="000000" w:sz="0"/>
              <w:left w:val="single" w:color="000000" w:sz="0"/>
              <w:bottom w:val="single" w:color="000000" w:sz="0"/>
              <w:right w:val="single" w:color="000000" w:sz="0"/>
            </w:tcBorders>
            <w:shd w:color="000000" w:fill="ffffff" w:val="clear"/>
            <w:tcMar>
              <w:left w:w="14" w:type="dxa"/>
              <w:right w:w="14" w:type="dxa"/>
            </w:tcMar>
            <w:vAlign w:val="center"/>
          </w:tcPr>
          <w:p>
            <w:pPr>
              <w:spacing w:before="0" w:after="0" w:line="240"/>
              <w:ind w:right="0" w:left="0" w:firstLine="0"/>
              <w:jc w:val="center"/>
              <w:rPr>
                <w:color w:val="auto"/>
                <w:spacing w:val="0"/>
                <w:position w:val="0"/>
              </w:rPr>
            </w:pPr>
            <w:r>
              <w:rPr>
                <w:rFonts w:ascii="Times New Roman" w:hAnsi="Times New Roman" w:cs="Times New Roman" w:eastAsia="Times New Roman"/>
                <w:b/>
                <w:color w:val="auto"/>
                <w:spacing w:val="0"/>
                <w:position w:val="0"/>
                <w:sz w:val="28"/>
                <w:shd w:fill="auto" w:val="clear"/>
              </w:rPr>
              <w:t xml:space="preserve"> </w:t>
            </w:r>
          </w:p>
        </w:tc>
        <w:tc>
          <w:tcPr>
            <w:tcW w:w="3222" w:type="dxa"/>
            <w:tcBorders>
              <w:top w:val="single" w:color="000000" w:sz="0"/>
              <w:left w:val="single" w:color="000000" w:sz="0"/>
              <w:bottom w:val="single" w:color="000000" w:sz="0"/>
              <w:right w:val="single" w:color="000000" w:sz="0"/>
            </w:tcBorders>
            <w:shd w:color="000000" w:fill="ffffff" w:val="clear"/>
            <w:tcMar>
              <w:left w:w="14" w:type="dxa"/>
              <w:right w:w="14"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5034" w:type="dxa"/>
            <w:tcBorders>
              <w:top w:val="single" w:color="000000" w:sz="0"/>
              <w:left w:val="single" w:color="000000" w:sz="0"/>
              <w:bottom w:val="single" w:color="000000" w:sz="0"/>
              <w:right w:val="single" w:color="000000" w:sz="0"/>
            </w:tcBorders>
            <w:shd w:color="000000" w:fill="ffffff" w:val="clear"/>
            <w:tcMar>
              <w:left w:w="14" w:type="dxa"/>
              <w:right w:w="14"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r>
      <w:tr>
        <w:trPr>
          <w:trHeight w:val="1" w:hRule="atLeast"/>
          <w:jc w:val="left"/>
        </w:trPr>
        <w:tc>
          <w:tcPr>
            <w:tcW w:w="4551" w:type="dxa"/>
            <w:tcBorders>
              <w:top w:val="single" w:color="000000" w:sz="0"/>
              <w:left w:val="single" w:color="000000" w:sz="0"/>
              <w:bottom w:val="single" w:color="000000" w:sz="0"/>
              <w:right w:val="single" w:color="000000" w:sz="0"/>
            </w:tcBorders>
            <w:shd w:color="000000" w:fill="ffffff" w:val="clear"/>
            <w:tcMar>
              <w:left w:w="14" w:type="dxa"/>
              <w:right w:w="14" w:type="dxa"/>
            </w:tcMar>
            <w:vAlign w:val="center"/>
          </w:tcPr>
          <w:p>
            <w:pPr>
              <w:spacing w:before="0" w:after="0" w:line="240"/>
              <w:ind w:right="0" w:left="0" w:firstLine="0"/>
              <w:jc w:val="center"/>
              <w:rPr>
                <w:color w:val="auto"/>
                <w:spacing w:val="0"/>
                <w:position w:val="0"/>
              </w:rPr>
            </w:pPr>
            <w:r>
              <w:rPr>
                <w:rFonts w:ascii="Times New Roman" w:hAnsi="Times New Roman" w:cs="Times New Roman" w:eastAsia="Times New Roman"/>
                <w:b/>
                <w:color w:val="auto"/>
                <w:spacing w:val="0"/>
                <w:position w:val="0"/>
                <w:sz w:val="28"/>
                <w:shd w:fill="auto" w:val="clear"/>
              </w:rPr>
              <w:t xml:space="preserve"> </w:t>
            </w:r>
          </w:p>
        </w:tc>
        <w:tc>
          <w:tcPr>
            <w:tcW w:w="3222" w:type="dxa"/>
            <w:tcBorders>
              <w:top w:val="single" w:color="000000" w:sz="0"/>
              <w:left w:val="single" w:color="000000" w:sz="0"/>
              <w:bottom w:val="single" w:color="000000" w:sz="0"/>
              <w:right w:val="single" w:color="000000" w:sz="0"/>
            </w:tcBorders>
            <w:shd w:color="000000" w:fill="ffffff" w:val="clear"/>
            <w:tcMar>
              <w:left w:w="14" w:type="dxa"/>
              <w:right w:w="14"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5034" w:type="dxa"/>
            <w:tcBorders>
              <w:top w:val="single" w:color="000000" w:sz="0"/>
              <w:left w:val="single" w:color="000000" w:sz="0"/>
              <w:bottom w:val="single" w:color="000000" w:sz="0"/>
              <w:right w:val="single" w:color="000000" w:sz="0"/>
            </w:tcBorders>
            <w:shd w:color="000000" w:fill="ffffff" w:val="clear"/>
            <w:tcMar>
              <w:left w:w="14" w:type="dxa"/>
              <w:right w:w="14"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r>
    </w:tbl>
    <w:p>
      <w:pPr>
        <w:spacing w:before="0" w:after="0" w:line="540"/>
        <w:ind w:right="0" w:left="0" w:firstLine="0"/>
        <w:jc w:val="center"/>
        <w:rPr>
          <w:rFonts w:ascii="Garamond" w:hAnsi="Garamond" w:cs="Garamond" w:eastAsia="Garamond"/>
          <w:color w:val="000000"/>
          <w:spacing w:val="0"/>
          <w:position w:val="0"/>
          <w:sz w:val="30"/>
          <w:shd w:fill="auto" w:val="clear"/>
        </w:rPr>
      </w:pPr>
      <w:r>
        <w:rPr>
          <w:rFonts w:ascii="Garamond" w:hAnsi="Garamond" w:cs="Garamond" w:eastAsia="Garamond"/>
          <w:color w:val="000000"/>
          <w:spacing w:val="0"/>
          <w:position w:val="0"/>
          <w:sz w:val="30"/>
          <w:shd w:fill="auto" w:val="clear"/>
        </w:rPr>
        <w:t xml:space="preserve">DEPOSITATA IN SEGRETERIA</w:t>
      </w:r>
    </w:p>
    <w:p>
      <w:pPr>
        <w:spacing w:before="0" w:after="0" w:line="540"/>
        <w:ind w:right="0" w:left="0" w:firstLine="0"/>
        <w:jc w:val="center"/>
        <w:rPr>
          <w:rFonts w:ascii="Garamond" w:hAnsi="Garamond" w:cs="Garamond" w:eastAsia="Garamond"/>
          <w:color w:val="000000"/>
          <w:spacing w:val="0"/>
          <w:position w:val="0"/>
          <w:sz w:val="30"/>
          <w:shd w:fill="auto" w:val="clear"/>
        </w:rPr>
      </w:pPr>
      <w:r>
        <w:rPr>
          <w:rFonts w:ascii="Garamond" w:hAnsi="Garamond" w:cs="Garamond" w:eastAsia="Garamond"/>
          <w:color w:val="000000"/>
          <w:spacing w:val="0"/>
          <w:position w:val="0"/>
          <w:sz w:val="30"/>
          <w:shd w:fill="auto" w:val="clear"/>
        </w:rPr>
        <w:t xml:space="preserve">Il 14/11/2013</w:t>
      </w:r>
    </w:p>
    <w:p>
      <w:pPr>
        <w:spacing w:before="0" w:after="0" w:line="540"/>
        <w:ind w:right="0" w:left="0" w:firstLine="0"/>
        <w:jc w:val="center"/>
        <w:rPr>
          <w:rFonts w:ascii="Garamond" w:hAnsi="Garamond" w:cs="Garamond" w:eastAsia="Garamond"/>
          <w:color w:val="000000"/>
          <w:spacing w:val="0"/>
          <w:position w:val="0"/>
          <w:sz w:val="30"/>
          <w:shd w:fill="auto" w:val="clear"/>
        </w:rPr>
      </w:pPr>
      <w:r>
        <w:rPr>
          <w:rFonts w:ascii="Garamond" w:hAnsi="Garamond" w:cs="Garamond" w:eastAsia="Garamond"/>
          <w:color w:val="000000"/>
          <w:spacing w:val="0"/>
          <w:position w:val="0"/>
          <w:sz w:val="30"/>
          <w:shd w:fill="auto" w:val="clear"/>
        </w:rPr>
        <w:t xml:space="preserve">IL SEGRETARIO</w:t>
      </w:r>
    </w:p>
    <w:p>
      <w:pPr>
        <w:spacing w:before="0" w:after="0" w:line="540"/>
        <w:ind w:right="0" w:left="0" w:firstLine="0"/>
        <w:jc w:val="center"/>
        <w:rPr>
          <w:rFonts w:ascii="Garamond" w:hAnsi="Garamond" w:cs="Garamond" w:eastAsia="Garamond"/>
          <w:color w:val="000000"/>
          <w:spacing w:val="0"/>
          <w:position w:val="0"/>
          <w:sz w:val="30"/>
          <w:shd w:fill="auto" w:val="clear"/>
        </w:rPr>
      </w:pPr>
      <w:r>
        <w:rPr>
          <w:rFonts w:ascii="Garamond" w:hAnsi="Garamond" w:cs="Garamond" w:eastAsia="Garamond"/>
          <w:color w:val="000000"/>
          <w:spacing w:val="0"/>
          <w:position w:val="0"/>
          <w:sz w:val="30"/>
          <w:shd w:fill="auto" w:val="clear"/>
        </w:rPr>
        <w:t xml:space="preserve">(Art. 89, co. 3, cod. proc. amm.)</w:t>
      </w:r>
    </w:p>
    <w:p>
      <w:pPr>
        <w:spacing w:before="0" w:after="200" w:line="276"/>
        <w:ind w:right="0" w:left="0" w:firstLine="0"/>
        <w:jc w:val="left"/>
        <w:rPr>
          <w:rFonts w:ascii="Calibri" w:hAnsi="Calibri" w:cs="Calibri" w:eastAsia="Calibri"/>
          <w:color w:val="auto"/>
          <w:spacing w:val="0"/>
          <w:position w:val="0"/>
          <w:sz w:val="22"/>
          <w:shd w:fill="auto" w:val="clear"/>
        </w:rPr>
      </w:pPr>
    </w:p>
  </w:body>
</w:document>
</file>

<file path=word/numbering.xml><?xml version="1.0" encoding="utf-8"?>
<w:numbering xmlns:w="http://schemas.openxmlformats.org/wordprocessingml/2006/main"/>
</file>

<file path=word/styles.xml><?xml version="1.0" encoding="utf-8"?>
<w:styles xmlns:w="http://schemas.openxmlformats.org/wordprocessingml/2006/main"/>
</file>

<file path=word/_rels/document.xml.rels><?xml version="1.0"?><Relationships xmlns="http://schemas.openxmlformats.org/package/2006/relationships"><Relationship Target="embeddings/oleObject0.bin" Id="docRId0" Type="http://schemas.openxmlformats.org/officeDocument/2006/relationships/oleObject"/><Relationship Target="media/image0.wmf" Id="docRId1" Type="http://schemas.openxmlformats.org/officeDocument/2006/relationships/image"/><Relationship Target="numbering.xml" Id="docRId2" Type="http://schemas.openxmlformats.org/officeDocument/2006/relationships/numbering"/><Relationship Target="styles.xml" Id="docRId3" Type="http://schemas.openxmlformats.org/officeDocument/2006/relationships/styles"/></Relationships>
</file>